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630CB" w14:textId="636F4217" w:rsidR="00FA30CD" w:rsidRPr="00E447CB" w:rsidRDefault="00FA30CD" w:rsidP="00FA30CD">
      <w:pPr>
        <w:pStyle w:val="Header"/>
        <w:tabs>
          <w:tab w:val="left" w:pos="8222"/>
        </w:tabs>
        <w:rPr>
          <w:bCs/>
          <w:noProof w:val="0"/>
          <w:sz w:val="24"/>
        </w:rPr>
      </w:pPr>
      <w:bookmarkStart w:id="0" w:name="_Hlk498518780"/>
      <w:bookmarkStart w:id="1" w:name="_Hlk525723053"/>
      <w:r>
        <w:rPr>
          <w:bCs/>
          <w:noProof w:val="0"/>
          <w:sz w:val="24"/>
        </w:rPr>
        <w:t xml:space="preserve">3GPP TSG RAN WG1 </w:t>
      </w:r>
      <w:r w:rsidR="00D37D2E">
        <w:rPr>
          <w:bCs/>
          <w:noProof w:val="0"/>
          <w:sz w:val="24"/>
          <w:szCs w:val="24"/>
        </w:rPr>
        <w:t>#96</w:t>
      </w:r>
      <w:r w:rsidR="004137D4">
        <w:rPr>
          <w:bCs/>
          <w:noProof w:val="0"/>
          <w:sz w:val="24"/>
          <w:szCs w:val="24"/>
        </w:rPr>
        <w:t>bis</w:t>
      </w:r>
      <w:r>
        <w:rPr>
          <w:bCs/>
          <w:noProof w:val="0"/>
          <w:sz w:val="24"/>
          <w:szCs w:val="24"/>
        </w:rPr>
        <w:t xml:space="preserve"> Meeting</w:t>
      </w:r>
      <w:r>
        <w:rPr>
          <w:bCs/>
          <w:noProof w:val="0"/>
          <w:sz w:val="24"/>
          <w:szCs w:val="24"/>
        </w:rPr>
        <w:tab/>
      </w:r>
      <w:r w:rsidR="00FB0E00" w:rsidRPr="00FB0E00">
        <w:rPr>
          <w:bCs/>
          <w:noProof w:val="0"/>
          <w:sz w:val="24"/>
        </w:rPr>
        <w:t>R1-1904641</w:t>
      </w:r>
    </w:p>
    <w:bookmarkEnd w:id="0"/>
    <w:p w14:paraId="13BAA5EE" w14:textId="663831D4" w:rsidR="00FA30CD" w:rsidRDefault="004137D4" w:rsidP="00FA30CD">
      <w:pPr>
        <w:pStyle w:val="Header"/>
        <w:rPr>
          <w:bCs/>
          <w:sz w:val="24"/>
        </w:rPr>
      </w:pPr>
      <w:r>
        <w:rPr>
          <w:bCs/>
          <w:sz w:val="24"/>
        </w:rPr>
        <w:t>Xi’an</w:t>
      </w:r>
      <w:r w:rsidR="00FA30CD" w:rsidRPr="00494E38">
        <w:rPr>
          <w:bCs/>
          <w:sz w:val="24"/>
        </w:rPr>
        <w:t>,</w:t>
      </w:r>
      <w:r w:rsidR="00D37D2E">
        <w:rPr>
          <w:bCs/>
          <w:sz w:val="24"/>
        </w:rPr>
        <w:t xml:space="preserve"> </w:t>
      </w:r>
      <w:r>
        <w:rPr>
          <w:bCs/>
          <w:sz w:val="24"/>
        </w:rPr>
        <w:t>China</w:t>
      </w:r>
      <w:r w:rsidR="00FA30CD" w:rsidRPr="00494E38">
        <w:rPr>
          <w:bCs/>
          <w:sz w:val="24"/>
        </w:rPr>
        <w:t xml:space="preserve">, </w:t>
      </w:r>
      <w:r>
        <w:rPr>
          <w:bCs/>
          <w:sz w:val="24"/>
        </w:rPr>
        <w:t>08</w:t>
      </w:r>
      <w:r w:rsidR="00D37D2E" w:rsidRPr="00D37D2E">
        <w:rPr>
          <w:bCs/>
          <w:sz w:val="24"/>
          <w:vertAlign w:val="superscript"/>
        </w:rPr>
        <w:t>th</w:t>
      </w:r>
      <w:r w:rsidR="00D37D2E">
        <w:rPr>
          <w:bCs/>
          <w:sz w:val="24"/>
        </w:rPr>
        <w:t xml:space="preserve"> </w:t>
      </w:r>
      <w:r>
        <w:rPr>
          <w:bCs/>
          <w:sz w:val="24"/>
        </w:rPr>
        <w:t>April - 12</w:t>
      </w:r>
      <w:r w:rsidR="00D37D2E" w:rsidRPr="00D37D2E">
        <w:rPr>
          <w:bCs/>
          <w:sz w:val="24"/>
          <w:vertAlign w:val="superscript"/>
        </w:rPr>
        <w:t>t</w:t>
      </w:r>
      <w:r>
        <w:rPr>
          <w:bCs/>
          <w:sz w:val="24"/>
          <w:vertAlign w:val="superscript"/>
        </w:rPr>
        <w:t>h</w:t>
      </w:r>
      <w:r w:rsidR="00FA30CD" w:rsidRPr="00494E38">
        <w:rPr>
          <w:bCs/>
          <w:sz w:val="24"/>
        </w:rPr>
        <w:t xml:space="preserve"> </w:t>
      </w:r>
      <w:r>
        <w:rPr>
          <w:bCs/>
          <w:sz w:val="24"/>
        </w:rPr>
        <w:t>April</w:t>
      </w:r>
      <w:r w:rsidR="00FA30CD" w:rsidRPr="00494E38">
        <w:rPr>
          <w:bCs/>
          <w:sz w:val="24"/>
        </w:rPr>
        <w:t>, 2019</w:t>
      </w:r>
      <w:bookmarkEnd w:id="1"/>
    </w:p>
    <w:p w14:paraId="7A7C4831" w14:textId="77777777" w:rsidR="000F77CF" w:rsidRPr="00F83A93" w:rsidRDefault="000F77CF" w:rsidP="00B53BEB">
      <w:pPr>
        <w:pStyle w:val="CRCoverPage"/>
        <w:spacing w:line="276" w:lineRule="auto"/>
        <w:rPr>
          <w:rFonts w:cs="Arial"/>
          <w:b/>
          <w:bCs/>
          <w:sz w:val="24"/>
        </w:rPr>
      </w:pPr>
    </w:p>
    <w:p w14:paraId="0CEA6A81" w14:textId="52A41812" w:rsidR="000F77CF" w:rsidRPr="00BB3A4E" w:rsidRDefault="000F77CF" w:rsidP="00B53BEB">
      <w:pPr>
        <w:pStyle w:val="CRCoverPage"/>
        <w:spacing w:line="276" w:lineRule="auto"/>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D97AF8" w:rsidRPr="00FA2868">
        <w:rPr>
          <w:rFonts w:cs="Arial"/>
          <w:b/>
          <w:bCs/>
          <w:sz w:val="24"/>
          <w:lang w:val="en-US"/>
        </w:rPr>
        <w:t>7.</w:t>
      </w:r>
      <w:r w:rsidR="00FA2868" w:rsidRPr="00FA2868">
        <w:rPr>
          <w:rFonts w:cs="Arial"/>
          <w:b/>
          <w:bCs/>
          <w:sz w:val="24"/>
          <w:lang w:val="en-US"/>
        </w:rPr>
        <w:t>2.3</w:t>
      </w:r>
      <w:r w:rsidR="00D97AF8" w:rsidRPr="00FA2868">
        <w:rPr>
          <w:rFonts w:cs="Arial"/>
          <w:b/>
          <w:bCs/>
          <w:sz w:val="24"/>
          <w:lang w:val="en-US"/>
        </w:rPr>
        <w:t>.</w:t>
      </w:r>
      <w:r w:rsidR="00FB0E00">
        <w:rPr>
          <w:rFonts w:cs="Arial"/>
          <w:b/>
          <w:bCs/>
          <w:sz w:val="24"/>
          <w:lang w:val="en-US"/>
        </w:rPr>
        <w:t xml:space="preserve">2 </w:t>
      </w:r>
    </w:p>
    <w:p w14:paraId="18047D28" w14:textId="77777777" w:rsidR="000F77CF" w:rsidRPr="00BB3A4E" w:rsidRDefault="000F77CF" w:rsidP="00B53BEB">
      <w:pPr>
        <w:tabs>
          <w:tab w:val="left" w:pos="1985"/>
        </w:tabs>
        <w:spacing w:after="120" w:line="276" w:lineRule="auto"/>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7F421409" w14:textId="77777777" w:rsidR="000F77CF" w:rsidRPr="00BB3A4E" w:rsidRDefault="000F77CF" w:rsidP="00B53BEB">
      <w:pPr>
        <w:spacing w:line="276" w:lineRule="auto"/>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E27583">
        <w:rPr>
          <w:rFonts w:ascii="Arial" w:hAnsi="Arial" w:cs="Arial"/>
          <w:b/>
          <w:bCs/>
          <w:sz w:val="24"/>
          <w:lang w:val="en-US"/>
        </w:rPr>
        <w:t>Enhancements</w:t>
      </w:r>
      <w:r w:rsidR="00B53BEB">
        <w:rPr>
          <w:rFonts w:ascii="Arial" w:hAnsi="Arial" w:cs="Arial"/>
          <w:b/>
          <w:bCs/>
          <w:sz w:val="24"/>
          <w:lang w:val="en-US"/>
        </w:rPr>
        <w:t xml:space="preserve"> on RACH for IAB</w:t>
      </w:r>
    </w:p>
    <w:p w14:paraId="2507996D" w14:textId="77777777" w:rsidR="000F77CF" w:rsidRPr="00BB3A4E" w:rsidRDefault="000F77CF" w:rsidP="00B53BEB">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t>Discussion</w:t>
      </w:r>
    </w:p>
    <w:p w14:paraId="2F95C3B0" w14:textId="77777777" w:rsidR="000F77CF" w:rsidRPr="00BB3A4E" w:rsidRDefault="000F77CF" w:rsidP="00F45D1E">
      <w:pPr>
        <w:pStyle w:val="Heading1"/>
        <w:pBdr>
          <w:top w:val="single" w:sz="12" w:space="2" w:color="auto"/>
        </w:pBdr>
        <w:rPr>
          <w:lang w:val="en-US"/>
        </w:rPr>
      </w:pPr>
      <w:r w:rsidRPr="00BB3A4E">
        <w:rPr>
          <w:lang w:val="en-US"/>
        </w:rPr>
        <w:t>1</w:t>
      </w:r>
      <w:r w:rsidRPr="00BB3A4E">
        <w:rPr>
          <w:lang w:val="en-US"/>
        </w:rPr>
        <w:tab/>
        <w:t>Introduction</w:t>
      </w:r>
    </w:p>
    <w:p w14:paraId="1F810FA8" w14:textId="77777777" w:rsidR="00CE378D" w:rsidRDefault="00FA30CD" w:rsidP="00D86CDD">
      <w:pPr>
        <w:spacing w:after="0" w:line="276" w:lineRule="auto"/>
        <w:jc w:val="both"/>
        <w:rPr>
          <w:lang w:eastAsia="zh-CN"/>
        </w:rPr>
      </w:pPr>
      <w:r>
        <w:rPr>
          <w:lang w:eastAsia="zh-CN"/>
        </w:rPr>
        <w:t>In RAN</w:t>
      </w:r>
      <w:r w:rsidR="00B53BEB">
        <w:rPr>
          <w:lang w:eastAsia="zh-CN"/>
        </w:rPr>
        <w:t xml:space="preserve"> #</w:t>
      </w:r>
      <w:r>
        <w:rPr>
          <w:lang w:eastAsia="zh-CN"/>
        </w:rPr>
        <w:t>82</w:t>
      </w:r>
      <w:r w:rsidR="00B53BEB">
        <w:rPr>
          <w:lang w:eastAsia="zh-CN"/>
        </w:rPr>
        <w:t xml:space="preserve">, </w:t>
      </w:r>
      <w:r>
        <w:rPr>
          <w:lang w:eastAsia="zh-CN"/>
        </w:rPr>
        <w:t>a work item</w:t>
      </w:r>
      <w:r w:rsidR="00D86CDD">
        <w:rPr>
          <w:lang w:eastAsia="zh-CN"/>
        </w:rPr>
        <w:t xml:space="preserve"> (WI)</w:t>
      </w:r>
      <w:r>
        <w:rPr>
          <w:lang w:eastAsia="zh-CN"/>
        </w:rPr>
        <w:t xml:space="preserve"> was agreed</w:t>
      </w:r>
      <w:r w:rsidR="00D86CDD">
        <w:rPr>
          <w:lang w:eastAsia="zh-CN"/>
        </w:rPr>
        <w:t xml:space="preserve"> on integrated access and backhaul (IAB) [1]. As a part of the WI, specification support on </w:t>
      </w:r>
      <w:r>
        <w:rPr>
          <w:lang w:eastAsia="zh-CN"/>
        </w:rPr>
        <w:t xml:space="preserve">RACH enhancements </w:t>
      </w:r>
      <w:r w:rsidR="00D86CDD">
        <w:rPr>
          <w:lang w:eastAsia="zh-CN"/>
        </w:rPr>
        <w:t>is</w:t>
      </w:r>
      <w:r>
        <w:rPr>
          <w:lang w:eastAsia="zh-CN"/>
        </w:rPr>
        <w:t xml:space="preserve"> </w:t>
      </w:r>
      <w:r w:rsidR="00D86CDD">
        <w:rPr>
          <w:lang w:eastAsia="zh-CN"/>
        </w:rPr>
        <w:t xml:space="preserve">also </w:t>
      </w:r>
      <w:r>
        <w:rPr>
          <w:lang w:eastAsia="zh-CN"/>
        </w:rPr>
        <w:t>mentioned</w:t>
      </w:r>
      <w:r w:rsidR="00D86CDD">
        <w:rPr>
          <w:lang w:eastAsia="zh-CN"/>
        </w:rPr>
        <w:t xml:space="preserve"> (highlighted below)</w:t>
      </w:r>
      <w:r>
        <w:rPr>
          <w:lang w:eastAsia="zh-CN"/>
        </w:rPr>
        <w:t>.</w:t>
      </w:r>
      <w:r w:rsidR="00572560">
        <w:rPr>
          <w:rFonts w:eastAsia="Batang"/>
        </w:rPr>
        <w:t xml:space="preserve"> </w:t>
      </w:r>
    </w:p>
    <w:p w14:paraId="354255E8" w14:textId="77777777" w:rsidR="00FA30CD" w:rsidRDefault="00FA30CD" w:rsidP="00D56DC4">
      <w:pPr>
        <w:spacing w:after="0" w:line="276" w:lineRule="auto"/>
        <w:ind w:left="720" w:hanging="720"/>
        <w:rPr>
          <w:rFonts w:eastAsia="Batang"/>
          <w:lang w:eastAsia="x-none"/>
        </w:rPr>
      </w:pPr>
    </w:p>
    <w:p w14:paraId="4CE66FC2" w14:textId="77777777" w:rsidR="00FA30CD" w:rsidRPr="00FA30CD" w:rsidRDefault="00FA30CD" w:rsidP="004137D4">
      <w:pPr>
        <w:pStyle w:val="ListParagraph"/>
        <w:numPr>
          <w:ilvl w:val="0"/>
          <w:numId w:val="11"/>
        </w:numPr>
        <w:spacing w:after="0" w:line="240" w:lineRule="auto"/>
        <w:ind w:left="720"/>
        <w:contextualSpacing w:val="0"/>
        <w:jc w:val="both"/>
        <w:rPr>
          <w:rFonts w:ascii="Times New Roman" w:hAnsi="Times New Roman"/>
          <w:i/>
          <w:sz w:val="20"/>
          <w:szCs w:val="20"/>
        </w:rPr>
      </w:pPr>
      <w:r w:rsidRPr="00FA30CD">
        <w:rPr>
          <w:rFonts w:ascii="Times New Roman" w:hAnsi="Times New Roman"/>
          <w:i/>
          <w:sz w:val="20"/>
          <w:szCs w:val="20"/>
        </w:rPr>
        <w:t>Physical layer specification [RAN1-led, RAN2, RAN3, RAN4]:</w:t>
      </w:r>
    </w:p>
    <w:p w14:paraId="3F5A5472" w14:textId="77777777" w:rsidR="00FA30CD" w:rsidRPr="00FA30CD" w:rsidRDefault="00FA30CD" w:rsidP="004137D4">
      <w:pPr>
        <w:pStyle w:val="ListParagraph"/>
        <w:numPr>
          <w:ilvl w:val="1"/>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Specification of SSB/RMSI periodicity for NR initial access assumed by an IAB-node.</w:t>
      </w:r>
    </w:p>
    <w:p w14:paraId="076673A2" w14:textId="77777777" w:rsidR="00FA30CD" w:rsidRPr="00FA30CD" w:rsidRDefault="00FA30CD" w:rsidP="004137D4">
      <w:pPr>
        <w:pStyle w:val="ListParagraph"/>
        <w:numPr>
          <w:ilvl w:val="1"/>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006EB5A5" w14:textId="77777777" w:rsidR="00FA30CD" w:rsidRPr="00FA30CD" w:rsidRDefault="00FA30CD" w:rsidP="004137D4">
      <w:pPr>
        <w:numPr>
          <w:ilvl w:val="1"/>
          <w:numId w:val="11"/>
        </w:numPr>
        <w:spacing w:beforeLines="60" w:before="144" w:afterLines="60" w:after="144"/>
        <w:jc w:val="both"/>
        <w:rPr>
          <w:b/>
          <w:i/>
        </w:rPr>
      </w:pPr>
      <w:bookmarkStart w:id="2" w:name="_Hlk534283907"/>
      <w:r w:rsidRPr="00FA30CD">
        <w:rPr>
          <w:b/>
          <w:i/>
        </w:rPr>
        <w:t>Specification of extension of RACH occasions and periodicities for backhaul RACH resources. w.r.t. access RACH resources, and associated network coordination mechanisms for selection of such parameters (</w:t>
      </w:r>
      <w:proofErr w:type="gramStart"/>
      <w:r w:rsidRPr="00FA30CD">
        <w:rPr>
          <w:b/>
          <w:i/>
        </w:rPr>
        <w:t>in order to</w:t>
      </w:r>
      <w:proofErr w:type="gramEnd"/>
      <w:r w:rsidRPr="00FA30CD">
        <w:rPr>
          <w:b/>
          <w:i/>
        </w:rPr>
        <w:t xml:space="preserve"> orthogonalize access and BH due to the half-duplex constraints)</w:t>
      </w:r>
      <w:r w:rsidRPr="00FA30CD" w:rsidDel="008F7E88">
        <w:rPr>
          <w:b/>
          <w:i/>
        </w:rPr>
        <w:t xml:space="preserve"> </w:t>
      </w:r>
    </w:p>
    <w:bookmarkEnd w:id="2"/>
    <w:p w14:paraId="323B195D" w14:textId="77777777" w:rsidR="00FA30CD" w:rsidRPr="00FA30CD" w:rsidRDefault="00FA30CD" w:rsidP="004137D4">
      <w:pPr>
        <w:numPr>
          <w:ilvl w:val="1"/>
          <w:numId w:val="11"/>
        </w:numPr>
        <w:spacing w:beforeLines="60" w:before="144" w:afterLines="60" w:after="144"/>
        <w:jc w:val="both"/>
        <w:rPr>
          <w:i/>
        </w:rPr>
      </w:pPr>
      <w:r w:rsidRPr="00FA30CD">
        <w:rPr>
          <w:i/>
        </w:rPr>
        <w:t xml:space="preserve">Specification of mechanisms for resource multiplexing among backhaul and access links. This includes: </w:t>
      </w:r>
    </w:p>
    <w:p w14:paraId="2048D4E3" w14:textId="77777777" w:rsidR="00FA30CD" w:rsidRPr="00FA30CD" w:rsidRDefault="00FA30CD" w:rsidP="004137D4">
      <w:pPr>
        <w:numPr>
          <w:ilvl w:val="2"/>
          <w:numId w:val="11"/>
        </w:numPr>
        <w:spacing w:beforeLines="60" w:before="144" w:afterLines="60" w:after="144"/>
        <w:jc w:val="both"/>
        <w:rPr>
          <w:i/>
        </w:rPr>
      </w:pPr>
      <w:r w:rsidRPr="00FA30CD">
        <w:rPr>
          <w:i/>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251BCE1D" w14:textId="77777777" w:rsidR="00FA30CD" w:rsidRPr="00FA30CD" w:rsidRDefault="00FA30CD" w:rsidP="004137D4">
      <w:pPr>
        <w:pStyle w:val="ListParagraph"/>
        <w:numPr>
          <w:ilvl w:val="2"/>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 xml:space="preserve">Specification of time resource types for the DU’s child links: DL hard, DL soft, UL hard, UL soft, Flexible hard, Flexible soft, Not Available </w:t>
      </w:r>
    </w:p>
    <w:p w14:paraId="36BEEEDD" w14:textId="77777777" w:rsidR="00FA30CD" w:rsidRPr="00FA30CD" w:rsidRDefault="00FA30CD" w:rsidP="004137D4">
      <w:pPr>
        <w:numPr>
          <w:ilvl w:val="2"/>
          <w:numId w:val="11"/>
        </w:numPr>
        <w:spacing w:beforeLines="60" w:before="144" w:afterLines="60" w:after="144"/>
        <w:jc w:val="both"/>
        <w:rPr>
          <w:i/>
        </w:rPr>
      </w:pPr>
      <w:r w:rsidRPr="00FA30CD">
        <w:rPr>
          <w:i/>
        </w:rPr>
        <w:t xml:space="preserve">Specification of dynamic indication (L1 signalling) of the availability of soft resources for a child IAB-node DU </w:t>
      </w:r>
    </w:p>
    <w:p w14:paraId="55DE5895" w14:textId="77777777" w:rsidR="00FA30CD" w:rsidRPr="00FA30CD" w:rsidRDefault="00FA30CD" w:rsidP="004137D4">
      <w:pPr>
        <w:pStyle w:val="ListParagraph"/>
        <w:numPr>
          <w:ilvl w:val="2"/>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 xml:space="preserve">Specification of required transmission/reception rules for IAB-nodes and associated </w:t>
      </w:r>
      <w:proofErr w:type="spellStart"/>
      <w:r w:rsidRPr="00FA30CD">
        <w:rPr>
          <w:rFonts w:ascii="Times New Roman" w:hAnsi="Times New Roman"/>
          <w:i/>
          <w:sz w:val="20"/>
          <w:szCs w:val="20"/>
        </w:rPr>
        <w:t>behaviours</w:t>
      </w:r>
      <w:proofErr w:type="spellEnd"/>
      <w:r w:rsidRPr="00FA30CD">
        <w:rPr>
          <w:rFonts w:ascii="Times New Roman" w:hAnsi="Times New Roman"/>
          <w:i/>
          <w:sz w:val="20"/>
          <w:szCs w:val="20"/>
        </w:rPr>
        <w:t xml:space="preserve"> regarding time resource utilization as discussed in TR 38.874 clause 7.3.3.</w:t>
      </w:r>
    </w:p>
    <w:p w14:paraId="4DF92871" w14:textId="77777777" w:rsidR="00FA30CD" w:rsidRPr="00FA30CD" w:rsidRDefault="00FA30CD" w:rsidP="004137D4">
      <w:pPr>
        <w:pStyle w:val="ListParagraph"/>
        <w:numPr>
          <w:ilvl w:val="1"/>
          <w:numId w:val="11"/>
        </w:numPr>
        <w:spacing w:beforeLines="60" w:before="144" w:afterLines="60" w:after="144" w:line="240" w:lineRule="auto"/>
        <w:contextualSpacing w:val="0"/>
        <w:jc w:val="both"/>
        <w:rPr>
          <w:rFonts w:ascii="Times New Roman" w:hAnsi="Times New Roman"/>
          <w:i/>
          <w:sz w:val="20"/>
          <w:szCs w:val="20"/>
        </w:rPr>
      </w:pPr>
      <w:r w:rsidRPr="00FA30CD">
        <w:rPr>
          <w:rFonts w:ascii="Times New Roman" w:hAnsi="Times New Roman"/>
          <w:i/>
          <w:sz w:val="20"/>
          <w:szCs w:val="20"/>
        </w:rPr>
        <w:t>Specification of mechanism to support the “case-1” OTA timing alignment.</w:t>
      </w:r>
    </w:p>
    <w:p w14:paraId="5CBED958" w14:textId="7F949C06" w:rsidR="00FA30CD" w:rsidRDefault="004137D4" w:rsidP="004137D4">
      <w:pPr>
        <w:spacing w:after="0"/>
        <w:rPr>
          <w:rFonts w:eastAsia="Batang"/>
          <w:lang w:eastAsia="x-none"/>
        </w:rPr>
      </w:pPr>
      <w:r>
        <w:rPr>
          <w:rFonts w:eastAsia="Batang"/>
          <w:lang w:eastAsia="x-none"/>
        </w:rPr>
        <w:t>Based on the discussion in RAN1 #96 meeting</w:t>
      </w:r>
      <w:r w:rsidR="00DE765E">
        <w:rPr>
          <w:rFonts w:eastAsia="Batang"/>
          <w:lang w:eastAsia="x-none"/>
        </w:rPr>
        <w:t xml:space="preserve"> [2]</w:t>
      </w:r>
      <w:r>
        <w:rPr>
          <w:rFonts w:eastAsia="Batang"/>
          <w:lang w:eastAsia="x-none"/>
        </w:rPr>
        <w:t xml:space="preserve">, the following agreement was reached,  </w:t>
      </w:r>
    </w:p>
    <w:p w14:paraId="7B60DC38" w14:textId="4DED5B43" w:rsidR="004137D4" w:rsidRDefault="004137D4" w:rsidP="004137D4">
      <w:pPr>
        <w:spacing w:after="0"/>
        <w:rPr>
          <w:i/>
          <w:lang w:val="en-US"/>
        </w:rPr>
      </w:pPr>
    </w:p>
    <w:p w14:paraId="276F0CE7" w14:textId="59D33155" w:rsidR="004137D4" w:rsidRPr="00D72354" w:rsidRDefault="004137D4" w:rsidP="004137D4">
      <w:pPr>
        <w:spacing w:after="0"/>
        <w:rPr>
          <w:lang w:eastAsia="x-none"/>
        </w:rPr>
      </w:pPr>
      <w:r w:rsidRPr="00D72354">
        <w:rPr>
          <w:highlight w:val="green"/>
          <w:lang w:eastAsia="x-none"/>
        </w:rPr>
        <w:t>Agreements</w:t>
      </w:r>
      <w:r w:rsidRPr="00D72354">
        <w:rPr>
          <w:lang w:eastAsia="x-none"/>
        </w:rPr>
        <w:t>:</w:t>
      </w:r>
      <w:r>
        <w:rPr>
          <w:lang w:eastAsia="x-none"/>
        </w:rPr>
        <w:t xml:space="preserve"> </w:t>
      </w:r>
    </w:p>
    <w:p w14:paraId="6A4ECF1C" w14:textId="77777777" w:rsidR="004137D4" w:rsidRPr="00D72354" w:rsidRDefault="004137D4" w:rsidP="004137D4">
      <w:pPr>
        <w:numPr>
          <w:ilvl w:val="0"/>
          <w:numId w:val="16"/>
        </w:numPr>
        <w:spacing w:before="60" w:after="0" w:line="288" w:lineRule="auto"/>
        <w:jc w:val="both"/>
        <w:rPr>
          <w:rFonts w:eastAsia="Malgun Gothic"/>
        </w:rPr>
      </w:pPr>
      <w:r w:rsidRPr="00D72354">
        <w:rPr>
          <w:rFonts w:eastAsia="Malgun Gothic"/>
          <w:lang w:eastAsia="ko-KR"/>
        </w:rPr>
        <w:t xml:space="preserve">New RACH configurations specific to IAB nodes are derived </w:t>
      </w:r>
      <w:r w:rsidRPr="00D72354">
        <w:rPr>
          <w:rFonts w:eastAsia="Malgun Gothic"/>
        </w:rPr>
        <w:t xml:space="preserve">with extension of existing </w:t>
      </w:r>
      <w:proofErr w:type="spellStart"/>
      <w:r w:rsidRPr="00D72354">
        <w:rPr>
          <w:rFonts w:eastAsia="Malgun Gothic"/>
        </w:rPr>
        <w:t>Rel</w:t>
      </w:r>
      <w:proofErr w:type="spellEnd"/>
      <w:r w:rsidRPr="00D72354">
        <w:rPr>
          <w:rFonts w:eastAsia="Malgun Gothic"/>
        </w:rPr>
        <w:t xml:space="preserve"> 15 RACH configurations obtained by:</w:t>
      </w:r>
    </w:p>
    <w:p w14:paraId="6C6C532A" w14:textId="77777777" w:rsidR="004137D4" w:rsidRPr="00D72354" w:rsidRDefault="004137D4" w:rsidP="004137D4">
      <w:pPr>
        <w:numPr>
          <w:ilvl w:val="1"/>
          <w:numId w:val="16"/>
        </w:numPr>
        <w:spacing w:before="60" w:after="0" w:line="288" w:lineRule="auto"/>
        <w:jc w:val="both"/>
        <w:rPr>
          <w:rFonts w:eastAsia="Malgun Gothic"/>
        </w:rPr>
      </w:pPr>
      <w:r w:rsidRPr="00D72354">
        <w:rPr>
          <w:rFonts w:eastAsia="Malgun Gothic"/>
        </w:rPr>
        <w:t>scaling the parameter ‘x’ from the PRACH configuration table, and</w:t>
      </w:r>
    </w:p>
    <w:p w14:paraId="12BF64FA" w14:textId="77777777" w:rsidR="004137D4" w:rsidRPr="00D72354" w:rsidRDefault="004137D4" w:rsidP="004137D4">
      <w:pPr>
        <w:numPr>
          <w:ilvl w:val="1"/>
          <w:numId w:val="16"/>
        </w:numPr>
        <w:spacing w:before="60" w:after="0" w:line="288" w:lineRule="auto"/>
        <w:jc w:val="both"/>
        <w:rPr>
          <w:rFonts w:eastAsia="Malgun Gothic"/>
        </w:rPr>
      </w:pPr>
      <w:r w:rsidRPr="00D72354">
        <w:rPr>
          <w:rFonts w:eastAsia="Malgun Gothic"/>
        </w:rPr>
        <w:t xml:space="preserve">by adding an offset </w:t>
      </w:r>
      <w:proofErr w:type="spellStart"/>
      <w:r w:rsidRPr="00D72354">
        <w:rPr>
          <w:rFonts w:eastAsia="Malgun Gothic"/>
        </w:rPr>
        <w:t>y_offset</w:t>
      </w:r>
      <w:proofErr w:type="spellEnd"/>
      <w:r w:rsidRPr="00D72354">
        <w:rPr>
          <w:rFonts w:eastAsia="Malgun Gothic"/>
        </w:rPr>
        <w:t xml:space="preserve"> to the parameter ‘y’ (frame-based offset) and/or adding an offset to the slot/subframe number (slot/subframe-based offset) from the PRACH configuration table.</w:t>
      </w:r>
    </w:p>
    <w:p w14:paraId="38A98153" w14:textId="77777777" w:rsidR="004137D4" w:rsidRDefault="004137D4" w:rsidP="004137D4">
      <w:pPr>
        <w:numPr>
          <w:ilvl w:val="0"/>
          <w:numId w:val="16"/>
        </w:numPr>
        <w:spacing w:before="60" w:after="0" w:line="288" w:lineRule="auto"/>
        <w:jc w:val="both"/>
        <w:rPr>
          <w:rFonts w:eastAsia="Malgun Gothic"/>
        </w:rPr>
      </w:pPr>
      <w:r w:rsidRPr="00D72354">
        <w:rPr>
          <w:rFonts w:eastAsia="Malgun Gothic"/>
        </w:rPr>
        <w:t xml:space="preserve">FFS values and ranges for scaling factor applicable to ‘x’ and for </w:t>
      </w:r>
      <w:proofErr w:type="spellStart"/>
      <w:r w:rsidRPr="00D72354">
        <w:rPr>
          <w:rFonts w:eastAsia="Malgun Gothic"/>
        </w:rPr>
        <w:t>y_offset</w:t>
      </w:r>
      <w:proofErr w:type="spellEnd"/>
      <w:r w:rsidRPr="00D72354">
        <w:rPr>
          <w:rFonts w:eastAsia="Malgun Gothic"/>
        </w:rPr>
        <w:t>.</w:t>
      </w:r>
    </w:p>
    <w:p w14:paraId="25D2EA30" w14:textId="68F5CC3F" w:rsidR="004137D4" w:rsidRPr="004137D4" w:rsidRDefault="004137D4" w:rsidP="004137D4">
      <w:pPr>
        <w:numPr>
          <w:ilvl w:val="0"/>
          <w:numId w:val="16"/>
        </w:numPr>
        <w:spacing w:before="60" w:after="0" w:line="288" w:lineRule="auto"/>
        <w:jc w:val="both"/>
        <w:rPr>
          <w:rFonts w:eastAsia="Malgun Gothic"/>
        </w:rPr>
      </w:pPr>
      <w:r w:rsidRPr="004137D4">
        <w:rPr>
          <w:rFonts w:eastAsia="Malgun Gothic"/>
        </w:rPr>
        <w:t xml:space="preserve">FFS whether a simple extension rule can be generally applied to all existing configurations leaving it up to the network to not use resulting configurations that may not fit other system constraints.  </w:t>
      </w:r>
    </w:p>
    <w:p w14:paraId="69A31CD1" w14:textId="77777777" w:rsidR="004137D4" w:rsidRPr="00FA30CD" w:rsidRDefault="004137D4" w:rsidP="004137D4">
      <w:pPr>
        <w:spacing w:after="0"/>
        <w:rPr>
          <w:i/>
          <w:lang w:val="en-US"/>
        </w:rPr>
      </w:pPr>
    </w:p>
    <w:p w14:paraId="6F86028F" w14:textId="11190CE7" w:rsidR="00FA30CD" w:rsidRDefault="004137D4" w:rsidP="004137D4">
      <w:pPr>
        <w:spacing w:after="0"/>
        <w:rPr>
          <w:lang w:eastAsia="zh-CN"/>
        </w:rPr>
      </w:pPr>
      <w:r>
        <w:rPr>
          <w:lang w:val="en-US"/>
        </w:rPr>
        <w:t xml:space="preserve">In </w:t>
      </w:r>
      <w:r w:rsidR="00D86CDD">
        <w:rPr>
          <w:lang w:eastAsia="zh-CN"/>
        </w:rPr>
        <w:t xml:space="preserve">this contribution, we discuss </w:t>
      </w:r>
      <w:r>
        <w:rPr>
          <w:lang w:eastAsia="zh-CN"/>
        </w:rPr>
        <w:t xml:space="preserve">the remaining </w:t>
      </w:r>
      <w:r w:rsidR="00D86CDD">
        <w:rPr>
          <w:lang w:eastAsia="zh-CN"/>
        </w:rPr>
        <w:t xml:space="preserve">details of </w:t>
      </w:r>
      <w:r w:rsidR="000B60CD">
        <w:rPr>
          <w:lang w:eastAsia="zh-CN"/>
        </w:rPr>
        <w:t xml:space="preserve">RACH for IAB operation. </w:t>
      </w:r>
      <w:r w:rsidR="00FB424A">
        <w:rPr>
          <w:lang w:eastAsia="zh-CN"/>
        </w:rPr>
        <w:t xml:space="preserve"> </w:t>
      </w:r>
    </w:p>
    <w:p w14:paraId="031D1D37" w14:textId="77777777" w:rsidR="000F77CF" w:rsidRPr="005E06BF" w:rsidRDefault="000F77CF" w:rsidP="005E06BF">
      <w:pPr>
        <w:pStyle w:val="Heading1"/>
        <w:rPr>
          <w:color w:val="000000"/>
          <w:lang w:val="en-US"/>
        </w:rPr>
      </w:pPr>
      <w:r>
        <w:rPr>
          <w:color w:val="000000"/>
          <w:lang w:val="en-US"/>
        </w:rPr>
        <w:lastRenderedPageBreak/>
        <w:t>2</w:t>
      </w:r>
      <w:r w:rsidR="007C0ADD">
        <w:rPr>
          <w:color w:val="000000"/>
          <w:lang w:val="en-US"/>
        </w:rPr>
        <w:tab/>
      </w:r>
      <w:r w:rsidR="005E06BF">
        <w:rPr>
          <w:color w:val="000000"/>
          <w:lang w:val="en-US"/>
        </w:rPr>
        <w:t>Discussion</w:t>
      </w:r>
    </w:p>
    <w:p w14:paraId="22515A55" w14:textId="5712848E" w:rsidR="000B60CD" w:rsidRPr="006214AB" w:rsidRDefault="000B60CD" w:rsidP="00C93482">
      <w:pPr>
        <w:jc w:val="both"/>
        <w:rPr>
          <w:szCs w:val="22"/>
          <w:lang w:eastAsia="zh-CN"/>
        </w:rPr>
      </w:pPr>
      <w:r w:rsidRPr="006214AB">
        <w:rPr>
          <w:szCs w:val="22"/>
          <w:lang w:eastAsia="zh-CN"/>
        </w:rPr>
        <w:t xml:space="preserve">The higher-layer parameter </w:t>
      </w:r>
      <w:r w:rsidRPr="006214AB">
        <w:rPr>
          <w:i/>
          <w:szCs w:val="22"/>
          <w:lang w:eastAsia="zh-CN"/>
        </w:rPr>
        <w:t>prach-ConfigurationIndex</w:t>
      </w:r>
      <w:r w:rsidRPr="006214AB">
        <w:rPr>
          <w:szCs w:val="22"/>
          <w:lang w:eastAsia="zh-CN"/>
        </w:rPr>
        <w:t xml:space="preserve"> mainly conveys the time domain resources according to Tables defined in [3]. These configuration tables are defined separately for FR1 paired spectrum, FR1 unpaired spectrum and FR2 unpaired spectrum. Structure of the tables is illustrated in Figure 1.</w:t>
      </w:r>
    </w:p>
    <w:p w14:paraId="26033FA7" w14:textId="77777777" w:rsidR="00AE7710" w:rsidRPr="006214AB" w:rsidRDefault="00AE7710" w:rsidP="00AE7710">
      <w:pPr>
        <w:rPr>
          <w:noProof/>
          <w:sz w:val="18"/>
        </w:rPr>
      </w:pPr>
    </w:p>
    <w:p w14:paraId="65ADBC29" w14:textId="77777777" w:rsidR="00AE7710" w:rsidRPr="006214AB" w:rsidRDefault="000B60CD" w:rsidP="00C93482">
      <w:pPr>
        <w:jc w:val="center"/>
        <w:rPr>
          <w:sz w:val="18"/>
        </w:rPr>
      </w:pPr>
      <w:r w:rsidRPr="006214AB">
        <w:rPr>
          <w:noProof/>
          <w:sz w:val="18"/>
        </w:rPr>
        <w:drawing>
          <wp:inline distT="0" distB="0" distL="0" distR="0" wp14:anchorId="1D214021" wp14:editId="1FA6028A">
            <wp:extent cx="5695950" cy="18517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907" cy="1866663"/>
                    </a:xfrm>
                    <a:prstGeom prst="rect">
                      <a:avLst/>
                    </a:prstGeom>
                    <a:noFill/>
                  </pic:spPr>
                </pic:pic>
              </a:graphicData>
            </a:graphic>
          </wp:inline>
        </w:drawing>
      </w:r>
    </w:p>
    <w:p w14:paraId="55187092" w14:textId="77777777" w:rsidR="00AE7710" w:rsidRPr="006214AB" w:rsidRDefault="00AE7710" w:rsidP="00AE7710">
      <w:pPr>
        <w:jc w:val="center"/>
      </w:pPr>
      <w:r w:rsidRPr="006214AB">
        <w:t xml:space="preserve">Figure 1: </w:t>
      </w:r>
      <w:r w:rsidR="00925970" w:rsidRPr="006214AB">
        <w:t>PRACH</w:t>
      </w:r>
      <w:r w:rsidRPr="006214AB">
        <w:t xml:space="preserve"> configurations</w:t>
      </w:r>
    </w:p>
    <w:p w14:paraId="25A37EA9" w14:textId="5060A596" w:rsidR="00C37BDD" w:rsidRPr="006214AB" w:rsidRDefault="00F01024" w:rsidP="00F01024">
      <w:pPr>
        <w:shd w:val="clear" w:color="auto" w:fill="FFFFFF"/>
        <w:spacing w:after="0" w:line="240" w:lineRule="atLeast"/>
        <w:rPr>
          <w:color w:val="000000"/>
          <w:szCs w:val="22"/>
          <w:lang w:val="en-US"/>
        </w:rPr>
      </w:pPr>
      <w:r w:rsidRPr="006214AB">
        <w:rPr>
          <w:color w:val="000000"/>
          <w:szCs w:val="22"/>
          <w:lang w:val="en-US"/>
        </w:rPr>
        <w:t xml:space="preserve">Based on the </w:t>
      </w:r>
      <w:r w:rsidR="00472170" w:rsidRPr="006214AB">
        <w:rPr>
          <w:color w:val="000000"/>
          <w:szCs w:val="22"/>
          <w:lang w:val="en-US"/>
        </w:rPr>
        <w:t>agreement in RAN1 #96 meeting</w:t>
      </w:r>
      <w:r w:rsidRPr="006214AB">
        <w:rPr>
          <w:color w:val="000000"/>
          <w:szCs w:val="22"/>
          <w:lang w:val="en-US"/>
        </w:rPr>
        <w:t xml:space="preserve">, the </w:t>
      </w:r>
      <w:r w:rsidR="00472170" w:rsidRPr="006214AB">
        <w:rPr>
          <w:color w:val="000000"/>
          <w:szCs w:val="22"/>
          <w:lang w:val="en-US"/>
        </w:rPr>
        <w:t xml:space="preserve">IAB </w:t>
      </w:r>
      <w:r w:rsidRPr="006214AB">
        <w:rPr>
          <w:color w:val="000000"/>
          <w:szCs w:val="22"/>
          <w:lang w:val="en-US"/>
        </w:rPr>
        <w:t xml:space="preserve">PRACH can be transmitted when the </w:t>
      </w:r>
      <m:oMath>
        <m:sSub>
          <m:sSubPr>
            <m:ctrlPr>
              <w:rPr>
                <w:rFonts w:ascii="Cambria Math" w:hAnsi="Cambria Math"/>
                <w:i/>
                <w:color w:val="000000"/>
                <w:szCs w:val="22"/>
                <w:lang w:val="en-US"/>
              </w:rPr>
            </m:ctrlPr>
          </m:sSubPr>
          <m:e>
            <m:r>
              <w:rPr>
                <w:rFonts w:ascii="Cambria Math" w:hAnsi="Cambria Math"/>
                <w:color w:val="000000"/>
                <w:szCs w:val="22"/>
                <w:lang w:val="en-US"/>
              </w:rPr>
              <m:t>n</m:t>
            </m:r>
          </m:e>
          <m:sub>
            <m:r>
              <w:rPr>
                <w:rFonts w:ascii="Cambria Math" w:hAnsi="Cambria Math"/>
                <w:color w:val="000000"/>
                <w:szCs w:val="22"/>
                <w:lang w:val="en-US"/>
              </w:rPr>
              <m:t>SFN</m:t>
            </m:r>
          </m:sub>
        </m:sSub>
        <m:r>
          <m:rPr>
            <m:sty m:val="p"/>
          </m:rPr>
          <w:rPr>
            <w:rFonts w:ascii="Cambria Math" w:hAnsi="Cambria Math"/>
            <w:color w:val="000000"/>
            <w:szCs w:val="22"/>
            <w:lang w:val="en-US"/>
          </w:rPr>
          <m:t>mod</m:t>
        </m:r>
        <m:r>
          <w:rPr>
            <w:rFonts w:ascii="Cambria Math" w:hAnsi="Cambria Math"/>
            <w:color w:val="000000"/>
            <w:szCs w:val="22"/>
            <w:lang w:val="en-US"/>
          </w:rPr>
          <m:t xml:space="preserve"> λ∙x=y+ </m:t>
        </m:r>
        <m:sSub>
          <m:sSubPr>
            <m:ctrlPr>
              <w:rPr>
                <w:rFonts w:ascii="Cambria Math" w:hAnsi="Cambria Math"/>
                <w:i/>
                <w:color w:val="000000"/>
                <w:szCs w:val="22"/>
                <w:lang w:val="en-US"/>
              </w:rPr>
            </m:ctrlPr>
          </m:sSubPr>
          <m:e>
            <m:r>
              <w:rPr>
                <w:rFonts w:ascii="Cambria Math" w:hAnsi="Cambria Math"/>
                <w:color w:val="000000"/>
                <w:szCs w:val="22"/>
                <w:lang w:val="en-US"/>
              </w:rPr>
              <m:t>y</m:t>
            </m:r>
          </m:e>
          <m:sub>
            <m:r>
              <m:rPr>
                <m:sty m:val="p"/>
              </m:rPr>
              <w:rPr>
                <w:rFonts w:ascii="Cambria Math" w:hAnsi="Cambria Math"/>
                <w:color w:val="000000"/>
                <w:szCs w:val="22"/>
                <w:lang w:val="en-US"/>
              </w:rPr>
              <m:t>offset</m:t>
            </m:r>
          </m:sub>
        </m:sSub>
      </m:oMath>
      <w:r w:rsidRPr="006214AB">
        <w:rPr>
          <w:color w:val="000000"/>
          <w:szCs w:val="22"/>
          <w:lang w:val="en-US"/>
        </w:rPr>
        <w:t xml:space="preserve">, where </w:t>
      </w:r>
      <m:oMath>
        <m:r>
          <w:rPr>
            <w:rFonts w:ascii="Cambria Math" w:hAnsi="Cambria Math"/>
            <w:color w:val="000000"/>
            <w:szCs w:val="22"/>
            <w:lang w:val="en-US"/>
          </w:rPr>
          <m:t>λ</m:t>
        </m:r>
      </m:oMath>
      <w:r w:rsidR="00472170" w:rsidRPr="006214AB">
        <w:rPr>
          <w:color w:val="000000"/>
          <w:szCs w:val="22"/>
          <w:lang w:val="en-US"/>
        </w:rPr>
        <w:t xml:space="preserve">  is the scaling parameter and </w:t>
      </w:r>
      <m:oMath>
        <m:sSub>
          <m:sSubPr>
            <m:ctrlPr>
              <w:rPr>
                <w:rFonts w:ascii="Cambria Math" w:hAnsi="Cambria Math"/>
                <w:i/>
                <w:color w:val="000000"/>
                <w:szCs w:val="22"/>
                <w:lang w:val="en-US"/>
              </w:rPr>
            </m:ctrlPr>
          </m:sSubPr>
          <m:e>
            <m:r>
              <w:rPr>
                <w:rFonts w:ascii="Cambria Math" w:hAnsi="Cambria Math"/>
                <w:color w:val="000000"/>
                <w:szCs w:val="22"/>
                <w:lang w:val="en-US"/>
              </w:rPr>
              <m:t>y</m:t>
            </m:r>
          </m:e>
          <m:sub>
            <m:r>
              <m:rPr>
                <m:sty m:val="p"/>
              </m:rPr>
              <w:rPr>
                <w:rFonts w:ascii="Cambria Math" w:hAnsi="Cambria Math"/>
                <w:color w:val="000000"/>
                <w:szCs w:val="22"/>
                <w:lang w:val="en-US"/>
              </w:rPr>
              <m:t>offset</m:t>
            </m:r>
          </m:sub>
        </m:sSub>
      </m:oMath>
      <w:r w:rsidR="00472170" w:rsidRPr="006214AB">
        <w:rPr>
          <w:color w:val="000000"/>
          <w:szCs w:val="22"/>
          <w:lang w:val="en-US"/>
        </w:rPr>
        <w:t xml:space="preserve"> is the offset </w:t>
      </w:r>
      <w:r w:rsidR="00DC6695" w:rsidRPr="006214AB">
        <w:rPr>
          <w:color w:val="000000"/>
          <w:szCs w:val="22"/>
          <w:lang w:val="en-US"/>
        </w:rPr>
        <w:t xml:space="preserve">for </w:t>
      </w:r>
      <w:r w:rsidR="00472170" w:rsidRPr="006214AB">
        <w:rPr>
          <w:color w:val="000000"/>
          <w:szCs w:val="22"/>
          <w:lang w:val="en-US"/>
        </w:rPr>
        <w:t xml:space="preserve">the frame based offset parameter. It is also agreed that there can be </w:t>
      </w:r>
      <w:r w:rsidR="00472170" w:rsidRPr="006214AB">
        <w:rPr>
          <w:rFonts w:eastAsia="Malgun Gothic"/>
          <w:szCs w:val="22"/>
        </w:rPr>
        <w:t xml:space="preserve">an offset </w:t>
      </w:r>
      <w:r w:rsidR="00DC6695" w:rsidRPr="006214AB">
        <w:rPr>
          <w:rFonts w:eastAsia="Malgun Gothic"/>
          <w:szCs w:val="22"/>
        </w:rPr>
        <w:t>on</w:t>
      </w:r>
      <w:r w:rsidR="00472170" w:rsidRPr="006214AB">
        <w:rPr>
          <w:rFonts w:eastAsia="Malgun Gothic"/>
          <w:szCs w:val="22"/>
        </w:rPr>
        <w:t xml:space="preserve"> the slot/subframe number (slot/subframe-based </w:t>
      </w:r>
      <w:r w:rsidR="00935354" w:rsidRPr="006214AB">
        <w:rPr>
          <w:rFonts w:eastAsia="Malgun Gothic"/>
          <w:szCs w:val="22"/>
        </w:rPr>
        <w:t>offset) from</w:t>
      </w:r>
      <w:r w:rsidR="00472170" w:rsidRPr="006214AB">
        <w:rPr>
          <w:rFonts w:eastAsia="Malgun Gothic"/>
          <w:szCs w:val="22"/>
        </w:rPr>
        <w:t xml:space="preserve"> the PRACH configuration table. </w:t>
      </w:r>
      <w:r w:rsidR="00472170" w:rsidRPr="006214AB">
        <w:rPr>
          <w:color w:val="000000"/>
          <w:szCs w:val="22"/>
          <w:shd w:val="clear" w:color="auto" w:fill="DDD9C3" w:themeFill="background2" w:themeFillShade="E6"/>
          <w:lang w:val="en-US"/>
        </w:rPr>
        <w:t xml:space="preserve"> </w:t>
      </w:r>
    </w:p>
    <w:p w14:paraId="0C3EE946" w14:textId="3D65B288" w:rsidR="0078129B" w:rsidRPr="006214AB" w:rsidRDefault="00834E1D" w:rsidP="00D07171">
      <w:pPr>
        <w:shd w:val="clear" w:color="auto" w:fill="FFFFFF"/>
        <w:tabs>
          <w:tab w:val="left" w:pos="4209"/>
        </w:tabs>
        <w:spacing w:after="0" w:line="240" w:lineRule="atLeast"/>
        <w:rPr>
          <w:color w:val="000000"/>
          <w:szCs w:val="22"/>
          <w:lang w:val="en-US"/>
        </w:rPr>
      </w:pPr>
      <w:r w:rsidRPr="006214AB">
        <w:rPr>
          <w:color w:val="000000"/>
          <w:szCs w:val="22"/>
          <w:lang w:val="en-US"/>
        </w:rPr>
        <w:tab/>
      </w:r>
    </w:p>
    <w:p w14:paraId="1FB699B0" w14:textId="04EA7941" w:rsidR="00834E1D" w:rsidRPr="006214AB" w:rsidRDefault="001147BC" w:rsidP="00925970">
      <w:pPr>
        <w:jc w:val="both"/>
        <w:rPr>
          <w:szCs w:val="22"/>
        </w:rPr>
      </w:pPr>
      <w:r w:rsidRPr="006214AB">
        <w:rPr>
          <w:szCs w:val="22"/>
        </w:rPr>
        <w:t xml:space="preserve">First, we focus on the scaling parameter </w:t>
      </w:r>
      <m:oMath>
        <m:r>
          <w:rPr>
            <w:rFonts w:ascii="Cambria Math" w:hAnsi="Cambria Math"/>
            <w:color w:val="000000"/>
            <w:szCs w:val="22"/>
            <w:lang w:val="en-US"/>
          </w:rPr>
          <m:t>λ</m:t>
        </m:r>
      </m:oMath>
      <w:r w:rsidRPr="006214AB">
        <w:rPr>
          <w:color w:val="000000"/>
          <w:szCs w:val="22"/>
          <w:lang w:val="en-US"/>
        </w:rPr>
        <w:t xml:space="preserve">. </w:t>
      </w:r>
      <w:r w:rsidRPr="006214AB">
        <w:rPr>
          <w:szCs w:val="22"/>
        </w:rPr>
        <w:t xml:space="preserve"> </w:t>
      </w:r>
      <w:r w:rsidR="00834E1D" w:rsidRPr="006214AB">
        <w:rPr>
          <w:szCs w:val="22"/>
        </w:rPr>
        <w:t xml:space="preserve">One may think that applying </w:t>
      </w:r>
      <w:r w:rsidR="006214AB" w:rsidRPr="006214AB">
        <w:rPr>
          <w:szCs w:val="22"/>
        </w:rPr>
        <w:t xml:space="preserve">a </w:t>
      </w:r>
      <w:r w:rsidR="00834E1D" w:rsidRPr="006214AB">
        <w:rPr>
          <w:szCs w:val="22"/>
        </w:rPr>
        <w:t xml:space="preserve">single scaling factor with the tables defined in [3] would provide </w:t>
      </w:r>
      <w:r w:rsidR="00DC6695" w:rsidRPr="006214AB">
        <w:rPr>
          <w:szCs w:val="22"/>
        </w:rPr>
        <w:t>required</w:t>
      </w:r>
      <w:r w:rsidR="00834E1D" w:rsidRPr="006214AB">
        <w:rPr>
          <w:szCs w:val="22"/>
        </w:rPr>
        <w:t xml:space="preserve"> higher periodicity values</w:t>
      </w:r>
      <w:r w:rsidR="00DC6695" w:rsidRPr="006214AB">
        <w:rPr>
          <w:szCs w:val="22"/>
        </w:rPr>
        <w:t xml:space="preserve"> for IAB operation</w:t>
      </w:r>
      <w:r w:rsidR="00834E1D" w:rsidRPr="006214AB">
        <w:rPr>
          <w:szCs w:val="22"/>
        </w:rPr>
        <w:t>. T</w:t>
      </w:r>
      <w:r w:rsidRPr="006214AB">
        <w:rPr>
          <w:szCs w:val="22"/>
        </w:rPr>
        <w:t xml:space="preserve">he periodicity can be extended from 160 ms to 320 ms (32 frames) </w:t>
      </w:r>
      <w:r w:rsidR="00834E1D" w:rsidRPr="006214AB">
        <w:rPr>
          <w:szCs w:val="22"/>
        </w:rPr>
        <w:t>and</w:t>
      </w:r>
      <w:r w:rsidRPr="006214AB">
        <w:rPr>
          <w:szCs w:val="22"/>
        </w:rPr>
        <w:t xml:space="preserve"> 640 ms (64 frames) </w:t>
      </w:r>
      <w:r w:rsidR="00834E1D" w:rsidRPr="006214AB">
        <w:rPr>
          <w:szCs w:val="22"/>
        </w:rPr>
        <w:t>with the choice</w:t>
      </w:r>
      <w:r w:rsidR="00DC6695" w:rsidRPr="006214AB">
        <w:rPr>
          <w:szCs w:val="22"/>
        </w:rPr>
        <w:t xml:space="preserve"> </w:t>
      </w:r>
      <m:oMath>
        <m:r>
          <w:rPr>
            <w:rFonts w:ascii="Cambria Math" w:hAnsi="Cambria Math"/>
            <w:color w:val="000000"/>
            <w:szCs w:val="22"/>
            <w:lang w:val="en-US"/>
          </w:rPr>
          <m:t>λ</m:t>
        </m:r>
      </m:oMath>
      <w:r w:rsidR="00834E1D" w:rsidRPr="006214AB">
        <w:rPr>
          <w:szCs w:val="22"/>
        </w:rPr>
        <w:t xml:space="preserve"> </w:t>
      </w:r>
      <w:r w:rsidR="001C3E3D">
        <w:rPr>
          <w:szCs w:val="22"/>
        </w:rPr>
        <w:t>= 4</w:t>
      </w:r>
      <w:r w:rsidRPr="006214AB">
        <w:rPr>
          <w:szCs w:val="22"/>
        </w:rPr>
        <w:t>.</w:t>
      </w:r>
      <w:r w:rsidR="00834E1D" w:rsidRPr="006214AB">
        <w:rPr>
          <w:szCs w:val="22"/>
        </w:rPr>
        <w:t xml:space="preserve"> With </w:t>
      </w:r>
      <m:oMath>
        <m:r>
          <w:rPr>
            <w:rFonts w:ascii="Cambria Math" w:hAnsi="Cambria Math"/>
            <w:color w:val="000000"/>
            <w:szCs w:val="22"/>
            <w:lang w:val="en-US"/>
          </w:rPr>
          <m:t>λ=4</m:t>
        </m:r>
      </m:oMath>
      <w:r w:rsidR="00834E1D" w:rsidRPr="006214AB">
        <w:rPr>
          <w:color w:val="000000"/>
          <w:szCs w:val="22"/>
          <w:lang w:val="en-US"/>
        </w:rPr>
        <w:t xml:space="preserve"> for all PRACH configurations, periodicities would become 640, 320, 160, 80, </w:t>
      </w:r>
      <w:r w:rsidR="009D56BD">
        <w:rPr>
          <w:color w:val="000000"/>
          <w:szCs w:val="22"/>
          <w:lang w:val="en-US"/>
        </w:rPr>
        <w:t xml:space="preserve">and </w:t>
      </w:r>
      <w:r w:rsidR="00834E1D" w:rsidRPr="006214AB">
        <w:rPr>
          <w:color w:val="000000"/>
          <w:szCs w:val="22"/>
          <w:lang w:val="en-US"/>
        </w:rPr>
        <w:t xml:space="preserve">40 </w:t>
      </w:r>
      <w:proofErr w:type="spellStart"/>
      <w:r w:rsidR="00834E1D" w:rsidRPr="006214AB">
        <w:rPr>
          <w:color w:val="000000"/>
          <w:szCs w:val="22"/>
          <w:lang w:val="en-US"/>
        </w:rPr>
        <w:t>ms.</w:t>
      </w:r>
      <w:proofErr w:type="spellEnd"/>
      <w:r w:rsidR="00834E1D" w:rsidRPr="006214AB">
        <w:rPr>
          <w:color w:val="000000"/>
          <w:szCs w:val="22"/>
          <w:lang w:val="en-US"/>
        </w:rPr>
        <w:t xml:space="preserve"> However, </w:t>
      </w:r>
      <w:r w:rsidR="009D56BD" w:rsidRPr="006214AB">
        <w:rPr>
          <w:szCs w:val="22"/>
        </w:rPr>
        <w:t>if</w:t>
      </w:r>
      <w:r w:rsidR="00834E1D" w:rsidRPr="006214AB">
        <w:rPr>
          <w:szCs w:val="22"/>
        </w:rPr>
        <w:t xml:space="preserve"> the scaling parameter is applied generally across all the PRACH configuration indexes, </w:t>
      </w:r>
      <w:r w:rsidR="006214AB" w:rsidRPr="006214AB">
        <w:rPr>
          <w:szCs w:val="22"/>
        </w:rPr>
        <w:t xml:space="preserve">the </w:t>
      </w:r>
      <w:r w:rsidR="00834E1D" w:rsidRPr="006214AB">
        <w:rPr>
          <w:szCs w:val="22"/>
        </w:rPr>
        <w:t xml:space="preserve">smallest RACH periodicity will also increase, and it will be larger than 1 frame. To support fast initial access, we believe that at least 1 frame periodicity should be supported not only for access UEs but also for IAB </w:t>
      </w:r>
      <w:proofErr w:type="spellStart"/>
      <w:r w:rsidR="00834E1D" w:rsidRPr="006214AB">
        <w:rPr>
          <w:szCs w:val="22"/>
        </w:rPr>
        <w:t>MTs.</w:t>
      </w:r>
      <w:proofErr w:type="spellEnd"/>
      <w:r w:rsidR="00834E1D" w:rsidRPr="006214AB">
        <w:rPr>
          <w:szCs w:val="22"/>
        </w:rPr>
        <w:t xml:space="preserve">  </w:t>
      </w:r>
      <w:r w:rsidR="00DC6695" w:rsidRPr="006214AB">
        <w:rPr>
          <w:szCs w:val="22"/>
        </w:rPr>
        <w:t xml:space="preserve">Multiple interpretations of the same PRACH configuration table may require changes in the signalling content </w:t>
      </w:r>
      <w:r w:rsidR="006214AB" w:rsidRPr="006214AB">
        <w:rPr>
          <w:szCs w:val="22"/>
        </w:rPr>
        <w:t>during</w:t>
      </w:r>
      <w:r w:rsidR="00DC6695" w:rsidRPr="006214AB">
        <w:rPr>
          <w:szCs w:val="22"/>
        </w:rPr>
        <w:t xml:space="preserve"> the initial access. For example, </w:t>
      </w:r>
      <w:r w:rsidR="006214AB" w:rsidRPr="006214AB">
        <w:rPr>
          <w:color w:val="000000"/>
          <w:szCs w:val="22"/>
          <w:lang w:val="en-US"/>
        </w:rPr>
        <w:t>SIB1</w:t>
      </w:r>
      <w:r w:rsidR="00DC6695" w:rsidRPr="006214AB">
        <w:rPr>
          <w:color w:val="000000"/>
          <w:szCs w:val="22"/>
          <w:lang w:val="en-US"/>
        </w:rPr>
        <w:t xml:space="preserve"> </w:t>
      </w:r>
      <w:r w:rsidR="006214AB" w:rsidRPr="006214AB">
        <w:rPr>
          <w:color w:val="000000"/>
          <w:szCs w:val="22"/>
          <w:lang w:val="en-US"/>
        </w:rPr>
        <w:t>can</w:t>
      </w:r>
      <w:r w:rsidR="00DC6695" w:rsidRPr="006214AB">
        <w:rPr>
          <w:color w:val="000000"/>
          <w:szCs w:val="22"/>
          <w:lang w:val="en-US"/>
        </w:rPr>
        <w:t xml:space="preserve"> </w:t>
      </w:r>
      <w:r w:rsidR="006214AB" w:rsidRPr="006214AB">
        <w:rPr>
          <w:color w:val="000000"/>
          <w:szCs w:val="22"/>
          <w:lang w:val="en-US"/>
        </w:rPr>
        <w:t>have an</w:t>
      </w:r>
      <w:r w:rsidR="00DC6695" w:rsidRPr="006214AB">
        <w:rPr>
          <w:color w:val="000000"/>
          <w:szCs w:val="22"/>
          <w:lang w:val="en-US"/>
        </w:rPr>
        <w:t xml:space="preserve"> indication </w:t>
      </w:r>
      <w:r w:rsidR="006214AB" w:rsidRPr="006214AB">
        <w:rPr>
          <w:color w:val="000000"/>
          <w:szCs w:val="22"/>
          <w:lang w:val="en-US"/>
        </w:rPr>
        <w:t>for</w:t>
      </w:r>
      <w:r w:rsidR="00DC6695" w:rsidRPr="006214AB">
        <w:rPr>
          <w:color w:val="000000"/>
          <w:szCs w:val="22"/>
          <w:lang w:val="en-US"/>
        </w:rPr>
        <w:t xml:space="preserve"> the scaling parameter</w:t>
      </w:r>
      <w:r w:rsidR="006214AB" w:rsidRPr="006214AB">
        <w:rPr>
          <w:color w:val="000000"/>
          <w:szCs w:val="22"/>
          <w:lang w:val="en-US"/>
        </w:rPr>
        <w:t xml:space="preserve">. </w:t>
      </w:r>
      <w:r w:rsidR="00834E1D" w:rsidRPr="006214AB">
        <w:rPr>
          <w:szCs w:val="22"/>
        </w:rPr>
        <w:t xml:space="preserve">In order to avoid changes in </w:t>
      </w:r>
      <w:r w:rsidR="007A75D1" w:rsidRPr="006214AB">
        <w:rPr>
          <w:szCs w:val="22"/>
        </w:rPr>
        <w:t>SIB</w:t>
      </w:r>
      <w:r w:rsidR="009D56BD">
        <w:rPr>
          <w:szCs w:val="22"/>
        </w:rPr>
        <w:t>1</w:t>
      </w:r>
      <w:r w:rsidR="007A75D1" w:rsidRPr="006214AB">
        <w:rPr>
          <w:szCs w:val="22"/>
        </w:rPr>
        <w:t xml:space="preserve"> content and also to support lower and higher periodicities of the PRACH transmissions, we see the following approach </w:t>
      </w:r>
      <w:r w:rsidR="006214AB" w:rsidRPr="006214AB">
        <w:rPr>
          <w:szCs w:val="22"/>
        </w:rPr>
        <w:t>could</w:t>
      </w:r>
      <w:r w:rsidR="007A75D1" w:rsidRPr="006214AB">
        <w:rPr>
          <w:szCs w:val="22"/>
        </w:rPr>
        <w:t xml:space="preserve"> be</w:t>
      </w:r>
      <w:r w:rsidR="006214AB" w:rsidRPr="006214AB">
        <w:rPr>
          <w:szCs w:val="22"/>
        </w:rPr>
        <w:t xml:space="preserve"> more</w:t>
      </w:r>
      <w:r w:rsidR="007A75D1" w:rsidRPr="006214AB">
        <w:rPr>
          <w:szCs w:val="22"/>
        </w:rPr>
        <w:t xml:space="preserve"> suitable. </w:t>
      </w:r>
    </w:p>
    <w:p w14:paraId="17BF1998" w14:textId="7D1E0EF5" w:rsidR="001147BC" w:rsidRPr="006214AB" w:rsidRDefault="00CB2039" w:rsidP="00925970">
      <w:pPr>
        <w:jc w:val="both"/>
        <w:rPr>
          <w:szCs w:val="22"/>
        </w:rPr>
      </w:pPr>
      <w:r>
        <w:rPr>
          <w:szCs w:val="22"/>
        </w:rPr>
        <w:t>A r</w:t>
      </w:r>
      <w:r w:rsidR="007A75D1" w:rsidRPr="006214AB">
        <w:rPr>
          <w:szCs w:val="22"/>
        </w:rPr>
        <w:t xml:space="preserve">ow dependent scaling parameter can be defined for IAB PRACH configurations. One example would be to use scaling factor </w:t>
      </w:r>
      <m:oMath>
        <m:r>
          <w:rPr>
            <w:rFonts w:ascii="Cambria Math" w:hAnsi="Cambria Math"/>
            <w:color w:val="000000"/>
            <w:szCs w:val="22"/>
            <w:lang w:val="en-US"/>
          </w:rPr>
          <m:t>λ</m:t>
        </m:r>
      </m:oMath>
      <w:r>
        <w:rPr>
          <w:color w:val="000000"/>
          <w:szCs w:val="22"/>
          <w:lang w:val="en-US"/>
        </w:rPr>
        <w:t>=4 when x=16 or 4</w:t>
      </w:r>
      <w:r w:rsidR="007A75D1" w:rsidRPr="006214AB">
        <w:rPr>
          <w:color w:val="000000"/>
          <w:szCs w:val="22"/>
          <w:lang w:val="en-US"/>
        </w:rPr>
        <w:t xml:space="preserve">, and  </w:t>
      </w:r>
      <m:oMath>
        <m:r>
          <w:rPr>
            <w:rFonts w:ascii="Cambria Math" w:hAnsi="Cambria Math"/>
            <w:color w:val="000000"/>
            <w:szCs w:val="22"/>
            <w:lang w:val="en-US"/>
          </w:rPr>
          <m:t>λ=1</m:t>
        </m:r>
      </m:oMath>
      <w:r w:rsidR="007A75D1" w:rsidRPr="006214AB">
        <w:rPr>
          <w:color w:val="000000"/>
          <w:szCs w:val="22"/>
          <w:lang w:val="en-US"/>
        </w:rPr>
        <w:t xml:space="preserve"> when </w:t>
      </w:r>
      <m:oMath>
        <m:r>
          <w:rPr>
            <w:rFonts w:ascii="Cambria Math" w:hAnsi="Cambria Math"/>
            <w:color w:val="000000"/>
            <w:szCs w:val="22"/>
            <w:lang w:val="en-US"/>
          </w:rPr>
          <m:t>x</m:t>
        </m:r>
      </m:oMath>
      <w:r w:rsidR="007A75D1" w:rsidRPr="006214AB">
        <w:rPr>
          <w:color w:val="000000"/>
          <w:szCs w:val="22"/>
          <w:lang w:val="en-US"/>
        </w:rPr>
        <w:t xml:space="preserve"> = 8, 2, 1. This leads to having periodicities 640, 160, 80, 20, 10 </w:t>
      </w:r>
      <w:proofErr w:type="spellStart"/>
      <w:r w:rsidR="007A75D1" w:rsidRPr="006214AB">
        <w:rPr>
          <w:color w:val="000000"/>
          <w:szCs w:val="22"/>
          <w:lang w:val="en-US"/>
        </w:rPr>
        <w:t>ms</w:t>
      </w:r>
      <w:r w:rsidR="006214AB">
        <w:rPr>
          <w:color w:val="000000"/>
          <w:szCs w:val="22"/>
          <w:lang w:val="en-US"/>
        </w:rPr>
        <w:t>.</w:t>
      </w:r>
      <w:proofErr w:type="spellEnd"/>
    </w:p>
    <w:p w14:paraId="6A67331B" w14:textId="0530CD5C" w:rsidR="007A75D1" w:rsidRPr="006214AB" w:rsidRDefault="007A75D1" w:rsidP="00D07171">
      <w:pPr>
        <w:spacing w:after="0"/>
        <w:jc w:val="both"/>
        <w:rPr>
          <w:szCs w:val="22"/>
        </w:rPr>
      </w:pPr>
      <w:bookmarkStart w:id="3" w:name="_Hlk4774215"/>
      <w:r w:rsidRPr="006214AB">
        <w:rPr>
          <w:b/>
          <w:szCs w:val="22"/>
        </w:rPr>
        <w:t>Proposal 1</w:t>
      </w:r>
      <w:r w:rsidRPr="006214AB">
        <w:rPr>
          <w:szCs w:val="22"/>
        </w:rPr>
        <w:t xml:space="preserve">: </w:t>
      </w:r>
      <w:r w:rsidR="003A4A26" w:rsidRPr="006214AB">
        <w:rPr>
          <w:szCs w:val="22"/>
        </w:rPr>
        <w:t xml:space="preserve">The </w:t>
      </w:r>
      <w:r w:rsidRPr="006214AB">
        <w:rPr>
          <w:rFonts w:eastAsia="Malgun Gothic"/>
          <w:szCs w:val="22"/>
        </w:rPr>
        <w:t>scaling parameter (</w:t>
      </w:r>
      <m:oMath>
        <m:r>
          <w:rPr>
            <w:rFonts w:ascii="Cambria Math" w:hAnsi="Cambria Math"/>
            <w:color w:val="000000"/>
            <w:szCs w:val="22"/>
            <w:lang w:val="en-US"/>
          </w:rPr>
          <m:t>λ)</m:t>
        </m:r>
      </m:oMath>
      <w:r w:rsidRPr="006214AB">
        <w:rPr>
          <w:rFonts w:eastAsia="Malgun Gothic"/>
          <w:szCs w:val="22"/>
        </w:rPr>
        <w:t xml:space="preserve"> of ‘x’ from the PRACH configuration table</w:t>
      </w:r>
      <w:r w:rsidR="003A4A26" w:rsidRPr="006214AB">
        <w:rPr>
          <w:rFonts w:eastAsia="Malgun Gothic"/>
          <w:szCs w:val="22"/>
        </w:rPr>
        <w:t>(s)</w:t>
      </w:r>
      <w:r w:rsidRPr="006214AB">
        <w:rPr>
          <w:szCs w:val="22"/>
        </w:rPr>
        <w:t xml:space="preserve"> should be predefined for IAB operation. The values for the scaling parameter (</w:t>
      </w:r>
      <m:oMath>
        <m:r>
          <w:rPr>
            <w:rFonts w:ascii="Cambria Math" w:hAnsi="Cambria Math"/>
            <w:color w:val="000000"/>
            <w:szCs w:val="22"/>
            <w:lang w:val="en-US"/>
          </w:rPr>
          <m:t>λ)</m:t>
        </m:r>
      </m:oMath>
      <w:r w:rsidR="00CB2039">
        <w:rPr>
          <w:szCs w:val="22"/>
        </w:rPr>
        <w:t xml:space="preserve"> are</w:t>
      </w:r>
    </w:p>
    <w:p w14:paraId="399869D8" w14:textId="788F399C" w:rsidR="007A75D1" w:rsidRPr="006214AB" w:rsidRDefault="003A4A26" w:rsidP="00D07171">
      <w:pPr>
        <w:pStyle w:val="ListParagraph"/>
        <w:numPr>
          <w:ilvl w:val="0"/>
          <w:numId w:val="17"/>
        </w:numPr>
        <w:spacing w:after="0"/>
        <w:jc w:val="both"/>
        <w:rPr>
          <w:rFonts w:ascii="Times New Roman" w:hAnsi="Times New Roman"/>
          <w:sz w:val="20"/>
        </w:rPr>
      </w:pPr>
      <m:oMath>
        <m:r>
          <w:rPr>
            <w:rFonts w:ascii="Cambria Math" w:hAnsi="Cambria Math"/>
            <w:color w:val="000000"/>
            <w:sz w:val="20"/>
          </w:rPr>
          <m:t xml:space="preserve">λ=4 </m:t>
        </m:r>
      </m:oMath>
      <w:r w:rsidRPr="006214AB">
        <w:rPr>
          <w:rFonts w:ascii="Times New Roman" w:hAnsi="Times New Roman"/>
          <w:color w:val="000000"/>
          <w:sz w:val="20"/>
        </w:rPr>
        <w:t>f</w:t>
      </w:r>
      <w:r w:rsidR="007A75D1" w:rsidRPr="006214AB">
        <w:rPr>
          <w:rFonts w:ascii="Times New Roman" w:hAnsi="Times New Roman"/>
          <w:color w:val="000000"/>
          <w:sz w:val="20"/>
        </w:rPr>
        <w:t xml:space="preserve">or </w:t>
      </w:r>
      <m:oMath>
        <m:r>
          <w:rPr>
            <w:rFonts w:ascii="Cambria Math" w:hAnsi="Cambria Math"/>
            <w:color w:val="000000"/>
            <w:sz w:val="20"/>
          </w:rPr>
          <m:t>x</m:t>
        </m:r>
      </m:oMath>
      <w:r w:rsidR="007A75D1" w:rsidRPr="006214AB">
        <w:rPr>
          <w:rFonts w:ascii="Times New Roman" w:hAnsi="Times New Roman"/>
          <w:color w:val="000000"/>
          <w:sz w:val="20"/>
        </w:rPr>
        <w:t xml:space="preserve"> = </w:t>
      </w:r>
      <w:r w:rsidRPr="006214AB">
        <w:rPr>
          <w:rFonts w:ascii="Times New Roman" w:hAnsi="Times New Roman"/>
          <w:color w:val="000000"/>
          <w:sz w:val="20"/>
        </w:rPr>
        <w:t>16 and</w:t>
      </w:r>
      <w:r w:rsidR="007A75D1" w:rsidRPr="006214AB">
        <w:rPr>
          <w:rFonts w:ascii="Times New Roman" w:hAnsi="Times New Roman"/>
          <w:color w:val="000000"/>
          <w:sz w:val="20"/>
        </w:rPr>
        <w:t xml:space="preserve"> </w:t>
      </w:r>
      <w:r w:rsidRPr="006214AB">
        <w:rPr>
          <w:rFonts w:ascii="Times New Roman" w:hAnsi="Times New Roman"/>
          <w:color w:val="000000"/>
          <w:sz w:val="20"/>
        </w:rPr>
        <w:t>4.</w:t>
      </w:r>
    </w:p>
    <w:p w14:paraId="1D2AAB64" w14:textId="181D0077" w:rsidR="001147BC" w:rsidRPr="006214AB" w:rsidRDefault="003A4A26" w:rsidP="003A4A26">
      <w:pPr>
        <w:pStyle w:val="ListParagraph"/>
        <w:numPr>
          <w:ilvl w:val="0"/>
          <w:numId w:val="17"/>
        </w:numPr>
        <w:spacing w:after="0"/>
        <w:jc w:val="both"/>
        <w:rPr>
          <w:rFonts w:ascii="Times New Roman" w:hAnsi="Times New Roman"/>
          <w:sz w:val="20"/>
        </w:rPr>
      </w:pPr>
      <m:oMath>
        <m:r>
          <w:rPr>
            <w:rFonts w:ascii="Cambria Math" w:hAnsi="Cambria Math"/>
            <w:color w:val="000000"/>
            <w:sz w:val="20"/>
          </w:rPr>
          <m:t xml:space="preserve">λ=1 </m:t>
        </m:r>
      </m:oMath>
      <w:r w:rsidRPr="006214AB">
        <w:rPr>
          <w:rFonts w:ascii="Times New Roman" w:hAnsi="Times New Roman"/>
          <w:color w:val="000000"/>
          <w:sz w:val="20"/>
        </w:rPr>
        <w:t xml:space="preserve">for </w:t>
      </w:r>
      <m:oMath>
        <m:r>
          <w:rPr>
            <w:rFonts w:ascii="Cambria Math" w:hAnsi="Cambria Math"/>
            <w:color w:val="000000"/>
            <w:sz w:val="20"/>
          </w:rPr>
          <m:t>x</m:t>
        </m:r>
      </m:oMath>
      <w:r w:rsidRPr="006214AB">
        <w:rPr>
          <w:rFonts w:ascii="Times New Roman" w:hAnsi="Times New Roman"/>
          <w:color w:val="000000"/>
          <w:sz w:val="20"/>
        </w:rPr>
        <w:t xml:space="preserve"> = 8, 2, and 1.</w:t>
      </w:r>
    </w:p>
    <w:bookmarkEnd w:id="3"/>
    <w:p w14:paraId="2BA78569" w14:textId="77777777" w:rsidR="003A4A26" w:rsidRPr="006214AB" w:rsidRDefault="003A4A26" w:rsidP="00D07171">
      <w:pPr>
        <w:pStyle w:val="ListParagraph"/>
        <w:spacing w:after="0"/>
        <w:ind w:left="822"/>
        <w:jc w:val="both"/>
        <w:rPr>
          <w:rFonts w:ascii="Times New Roman" w:hAnsi="Times New Roman"/>
          <w:sz w:val="20"/>
        </w:rPr>
      </w:pPr>
    </w:p>
    <w:p w14:paraId="5F28E003" w14:textId="3C42FBBE" w:rsidR="00E05A04" w:rsidRPr="006214AB" w:rsidRDefault="003A4A26" w:rsidP="00925970">
      <w:pPr>
        <w:jc w:val="both"/>
        <w:rPr>
          <w:color w:val="000000"/>
          <w:szCs w:val="22"/>
          <w:lang w:val="en-US"/>
        </w:rPr>
      </w:pPr>
      <w:r w:rsidRPr="006214AB">
        <w:rPr>
          <w:szCs w:val="22"/>
        </w:rPr>
        <w:t xml:space="preserve">Next, we discuss the details of the offset parameter </w:t>
      </w:r>
      <m:oMath>
        <m:sSub>
          <m:sSubPr>
            <m:ctrlPr>
              <w:rPr>
                <w:rFonts w:ascii="Cambria Math" w:hAnsi="Cambria Math"/>
                <w:i/>
                <w:color w:val="000000"/>
                <w:szCs w:val="22"/>
                <w:lang w:val="en-US"/>
              </w:rPr>
            </m:ctrlPr>
          </m:sSubPr>
          <m:e>
            <m:r>
              <w:rPr>
                <w:rFonts w:ascii="Cambria Math" w:hAnsi="Cambria Math"/>
                <w:color w:val="000000"/>
                <w:szCs w:val="22"/>
                <w:lang w:val="en-US"/>
              </w:rPr>
              <m:t>y</m:t>
            </m:r>
          </m:e>
          <m:sub>
            <m:r>
              <m:rPr>
                <m:sty m:val="p"/>
              </m:rPr>
              <w:rPr>
                <w:rFonts w:ascii="Cambria Math" w:hAnsi="Cambria Math"/>
                <w:color w:val="000000"/>
                <w:szCs w:val="22"/>
                <w:lang w:val="en-US"/>
              </w:rPr>
              <m:t>offset</m:t>
            </m:r>
          </m:sub>
        </m:sSub>
      </m:oMath>
      <w:r w:rsidRPr="006214AB">
        <w:rPr>
          <w:color w:val="000000"/>
          <w:szCs w:val="22"/>
          <w:lang w:val="en-US"/>
        </w:rPr>
        <w:t xml:space="preserve"> when the offset is frame</w:t>
      </w:r>
      <w:r w:rsidR="001147BC" w:rsidRPr="006214AB">
        <w:rPr>
          <w:szCs w:val="22"/>
        </w:rPr>
        <w:t xml:space="preserve"> </w:t>
      </w:r>
      <w:r w:rsidRPr="006214AB">
        <w:rPr>
          <w:szCs w:val="22"/>
        </w:rPr>
        <w:t xml:space="preserve">based and other changes needed when the offset is </w:t>
      </w:r>
      <w:r w:rsidR="006214AB">
        <w:rPr>
          <w:szCs w:val="22"/>
        </w:rPr>
        <w:t>based on</w:t>
      </w:r>
      <w:r w:rsidRPr="006214AB">
        <w:rPr>
          <w:szCs w:val="22"/>
        </w:rPr>
        <w:t xml:space="preserve"> slot/subframe. It is understood that </w:t>
      </w:r>
      <w:r w:rsidR="00991687">
        <w:rPr>
          <w:szCs w:val="22"/>
        </w:rPr>
        <w:t xml:space="preserve">if </w:t>
      </w:r>
      <w:r w:rsidR="00AD5FC0" w:rsidRPr="006214AB">
        <w:rPr>
          <w:szCs w:val="22"/>
        </w:rPr>
        <w:t xml:space="preserve">the access and backhaul </w:t>
      </w:r>
      <w:r w:rsidRPr="006214AB">
        <w:rPr>
          <w:szCs w:val="22"/>
        </w:rPr>
        <w:t xml:space="preserve">can </w:t>
      </w:r>
      <w:r w:rsidR="00AD5FC0" w:rsidRPr="006214AB">
        <w:rPr>
          <w:szCs w:val="22"/>
        </w:rPr>
        <w:t>use the same PRACH configuration index, the PRACH transmissions can be fully overlapped with one another in the time domain. However, this may also be related to the resource configuration of the access and backhaul links.  In general, it is possible to minimize the collision</w:t>
      </w:r>
      <w:r w:rsidR="00991687">
        <w:rPr>
          <w:szCs w:val="22"/>
        </w:rPr>
        <w:t>s</w:t>
      </w:r>
      <w:r w:rsidR="00AD5FC0" w:rsidRPr="006214AB">
        <w:rPr>
          <w:szCs w:val="22"/>
        </w:rPr>
        <w:t xml:space="preserve"> by configuring different PRACH configurations for the access RACH resources and backhaul RACH resources.</w:t>
      </w:r>
      <w:r w:rsidRPr="006214AB">
        <w:rPr>
          <w:szCs w:val="22"/>
        </w:rPr>
        <w:t xml:space="preserve"> However, as it has been already agreed in the SI and mentioned in the WID, it may be worth a possibility of orthogonalizing </w:t>
      </w:r>
      <w:r w:rsidR="00AD5FC0" w:rsidRPr="006214AB">
        <w:rPr>
          <w:szCs w:val="22"/>
        </w:rPr>
        <w:t>RACH resources for access and backhaul RACH transmissions</w:t>
      </w:r>
      <w:r w:rsidRPr="006214AB">
        <w:rPr>
          <w:szCs w:val="22"/>
        </w:rPr>
        <w:t xml:space="preserve">. </w:t>
      </w:r>
      <w:r w:rsidR="00FA1201" w:rsidRPr="006214AB">
        <w:rPr>
          <w:szCs w:val="22"/>
        </w:rPr>
        <w:t>W</w:t>
      </w:r>
      <w:r w:rsidR="00AD5FC0" w:rsidRPr="006214AB">
        <w:rPr>
          <w:szCs w:val="22"/>
        </w:rPr>
        <w:t xml:space="preserve">e think that the granularity of the offset </w:t>
      </w:r>
      <w:r w:rsidR="00E05A04" w:rsidRPr="006214AB">
        <w:rPr>
          <w:szCs w:val="22"/>
        </w:rPr>
        <w:t xml:space="preserve">should work for almost all the PRACH configuration indexes with the parameter </w:t>
      </w:r>
      <m:oMath>
        <m:r>
          <w:rPr>
            <w:rFonts w:ascii="Cambria Math" w:hAnsi="Cambria Math"/>
            <w:color w:val="000000"/>
            <w:szCs w:val="22"/>
            <w:lang w:val="en-US"/>
          </w:rPr>
          <m:t>x</m:t>
        </m:r>
      </m:oMath>
      <w:r w:rsidR="00E05A04" w:rsidRPr="006214AB">
        <w:rPr>
          <w:color w:val="000000"/>
          <w:szCs w:val="22"/>
          <w:lang w:val="en-US"/>
        </w:rPr>
        <w:t xml:space="preserve"> = </w:t>
      </w:r>
      <w:r w:rsidR="00E05A04" w:rsidRPr="006214AB">
        <w:rPr>
          <w:color w:val="000000"/>
          <w:szCs w:val="22"/>
        </w:rPr>
        <w:t>16, 8, 4, and 2</w:t>
      </w:r>
      <w:r w:rsidR="00AD5FC0" w:rsidRPr="006214AB">
        <w:rPr>
          <w:szCs w:val="22"/>
        </w:rPr>
        <w:t>.</w:t>
      </w:r>
      <w:r w:rsidR="00BF0FB9" w:rsidRPr="006214AB">
        <w:rPr>
          <w:szCs w:val="22"/>
        </w:rPr>
        <w:t xml:space="preserve"> </w:t>
      </w:r>
      <w:r w:rsidR="00487E8C" w:rsidRPr="006214AB">
        <w:rPr>
          <w:szCs w:val="22"/>
        </w:rPr>
        <w:t xml:space="preserve"> I</w:t>
      </w:r>
      <w:r w:rsidR="00E05A04" w:rsidRPr="006214AB">
        <w:rPr>
          <w:szCs w:val="22"/>
        </w:rPr>
        <w:t>t would be fine to introduce</w:t>
      </w:r>
      <w:r w:rsidR="00487E8C" w:rsidRPr="006214AB">
        <w:rPr>
          <w:szCs w:val="22"/>
        </w:rPr>
        <w:t xml:space="preserve"> any frame level offset, for example</w:t>
      </w:r>
      <w:r w:rsidR="00E05A04" w:rsidRPr="006214AB">
        <w:rPr>
          <w:szCs w:val="22"/>
        </w:rPr>
        <w:t xml:space="preserve"> </w:t>
      </w:r>
      <m:oMath>
        <m:sSub>
          <m:sSubPr>
            <m:ctrlPr>
              <w:rPr>
                <w:rFonts w:ascii="Cambria Math" w:hAnsi="Cambria Math"/>
                <w:i/>
                <w:color w:val="000000"/>
                <w:szCs w:val="22"/>
                <w:lang w:val="en-US"/>
              </w:rPr>
            </m:ctrlPr>
          </m:sSubPr>
          <m:e>
            <m:r>
              <w:rPr>
                <w:rFonts w:ascii="Cambria Math" w:hAnsi="Cambria Math"/>
                <w:color w:val="000000"/>
                <w:szCs w:val="22"/>
                <w:lang w:val="en-US"/>
              </w:rPr>
              <m:t>y</m:t>
            </m:r>
          </m:e>
          <m:sub>
            <m:r>
              <m:rPr>
                <m:sty m:val="p"/>
              </m:rPr>
              <w:rPr>
                <w:rFonts w:ascii="Cambria Math" w:hAnsi="Cambria Math"/>
                <w:color w:val="000000"/>
                <w:szCs w:val="22"/>
                <w:lang w:val="en-US"/>
              </w:rPr>
              <m:t>offset</m:t>
            </m:r>
          </m:sub>
        </m:sSub>
        <m:r>
          <w:rPr>
            <w:rFonts w:ascii="Cambria Math" w:hAnsi="Cambria Math"/>
            <w:color w:val="000000"/>
            <w:szCs w:val="22"/>
            <w:lang w:val="en-US"/>
          </w:rPr>
          <m:t>=</m:t>
        </m:r>
        <m:f>
          <m:fPr>
            <m:type m:val="lin"/>
            <m:ctrlPr>
              <w:rPr>
                <w:rFonts w:ascii="Cambria Math" w:hAnsi="Cambria Math"/>
                <w:i/>
                <w:color w:val="000000"/>
                <w:szCs w:val="22"/>
                <w:lang w:val="en-US"/>
              </w:rPr>
            </m:ctrlPr>
          </m:fPr>
          <m:num>
            <m:r>
              <w:rPr>
                <w:rFonts w:ascii="Cambria Math" w:hAnsi="Cambria Math"/>
                <w:color w:val="000000"/>
                <w:szCs w:val="22"/>
                <w:lang w:val="en-US"/>
              </w:rPr>
              <m:t>x</m:t>
            </m:r>
          </m:num>
          <m:den>
            <m:r>
              <w:rPr>
                <w:rFonts w:ascii="Cambria Math" w:hAnsi="Cambria Math"/>
                <w:color w:val="000000"/>
                <w:szCs w:val="22"/>
                <w:lang w:val="en-US"/>
              </w:rPr>
              <m:t>2</m:t>
            </m:r>
          </m:den>
        </m:f>
        <m:r>
          <w:rPr>
            <w:rFonts w:ascii="Cambria Math" w:hAnsi="Cambria Math"/>
            <w:color w:val="000000"/>
            <w:szCs w:val="22"/>
            <w:lang w:val="en-US"/>
          </w:rPr>
          <m:t>.</m:t>
        </m:r>
      </m:oMath>
    </w:p>
    <w:p w14:paraId="6487C7AB" w14:textId="59B14F87" w:rsidR="00AD5FC0" w:rsidRPr="006214AB" w:rsidRDefault="00E05A04" w:rsidP="00925970">
      <w:pPr>
        <w:jc w:val="both"/>
        <w:rPr>
          <w:szCs w:val="22"/>
        </w:rPr>
      </w:pPr>
      <w:r w:rsidRPr="006214AB">
        <w:rPr>
          <w:szCs w:val="22"/>
        </w:rPr>
        <w:t>I</w:t>
      </w:r>
      <w:r w:rsidR="00BF0FB9" w:rsidRPr="006214AB">
        <w:rPr>
          <w:szCs w:val="22"/>
        </w:rPr>
        <w:t xml:space="preserve">t </w:t>
      </w:r>
      <w:r w:rsidRPr="006214AB">
        <w:rPr>
          <w:szCs w:val="22"/>
        </w:rPr>
        <w:t xml:space="preserve">is </w:t>
      </w:r>
      <w:r w:rsidR="00BF0FB9" w:rsidRPr="006214AB">
        <w:rPr>
          <w:szCs w:val="22"/>
        </w:rPr>
        <w:t xml:space="preserve">not possible to have </w:t>
      </w:r>
      <w:r w:rsidR="003528E7" w:rsidRPr="006214AB">
        <w:rPr>
          <w:szCs w:val="22"/>
        </w:rPr>
        <w:t xml:space="preserve">a </w:t>
      </w:r>
      <w:r w:rsidR="00BF0FB9" w:rsidRPr="006214AB">
        <w:rPr>
          <w:szCs w:val="22"/>
        </w:rPr>
        <w:t xml:space="preserve">frame </w:t>
      </w:r>
      <w:r w:rsidR="003528E7" w:rsidRPr="006214AB">
        <w:rPr>
          <w:szCs w:val="22"/>
        </w:rPr>
        <w:t xml:space="preserve">level </w:t>
      </w:r>
      <w:r w:rsidR="00BF0FB9" w:rsidRPr="006214AB">
        <w:rPr>
          <w:szCs w:val="22"/>
        </w:rPr>
        <w:t xml:space="preserve">offset at least for some PRACH Configurations where access UE periodicity is </w:t>
      </w:r>
      <w:r w:rsidR="003528E7" w:rsidRPr="006214AB">
        <w:rPr>
          <w:szCs w:val="22"/>
        </w:rPr>
        <w:t>1 frame</w:t>
      </w:r>
      <w:r w:rsidR="00BF0FB9" w:rsidRPr="006214AB">
        <w:rPr>
          <w:szCs w:val="22"/>
        </w:rPr>
        <w:t xml:space="preserve">. </w:t>
      </w:r>
      <w:r w:rsidR="00991687">
        <w:rPr>
          <w:szCs w:val="22"/>
        </w:rPr>
        <w:t>F</w:t>
      </w:r>
      <w:r w:rsidR="00487E8C" w:rsidRPr="006214AB">
        <w:rPr>
          <w:szCs w:val="22"/>
        </w:rPr>
        <w:t xml:space="preserve">or those, companies are thinking </w:t>
      </w:r>
      <w:r w:rsidR="006214AB">
        <w:rPr>
          <w:szCs w:val="22"/>
        </w:rPr>
        <w:t>of</w:t>
      </w:r>
      <w:r w:rsidR="00487E8C" w:rsidRPr="006214AB">
        <w:rPr>
          <w:szCs w:val="22"/>
        </w:rPr>
        <w:t xml:space="preserve"> having a slot level offset. However, when we observe the tables defined [3] and slot combinations used when </w:t>
      </w:r>
      <m:oMath>
        <m:r>
          <w:rPr>
            <w:rFonts w:ascii="Cambria Math" w:hAnsi="Cambria Math"/>
            <w:color w:val="000000"/>
            <w:szCs w:val="22"/>
            <w:lang w:val="en-US"/>
          </w:rPr>
          <m:t>x</m:t>
        </m:r>
      </m:oMath>
      <w:r w:rsidR="00487E8C" w:rsidRPr="006214AB">
        <w:rPr>
          <w:color w:val="000000"/>
          <w:szCs w:val="22"/>
          <w:lang w:val="en-US"/>
        </w:rPr>
        <w:t xml:space="preserve"> = </w:t>
      </w:r>
      <w:r w:rsidR="00487E8C" w:rsidRPr="006214AB">
        <w:rPr>
          <w:color w:val="000000"/>
          <w:szCs w:val="22"/>
        </w:rPr>
        <w:t xml:space="preserve">1, it is hard to find </w:t>
      </w:r>
      <w:r w:rsidR="00AF30D8">
        <w:rPr>
          <w:color w:val="000000"/>
          <w:szCs w:val="22"/>
        </w:rPr>
        <w:t xml:space="preserve">a </w:t>
      </w:r>
      <w:r w:rsidR="00487E8C" w:rsidRPr="006214AB">
        <w:rPr>
          <w:color w:val="000000"/>
          <w:szCs w:val="22"/>
        </w:rPr>
        <w:t xml:space="preserve">single slot offset </w:t>
      </w:r>
      <w:r w:rsidR="006214AB">
        <w:rPr>
          <w:color w:val="000000"/>
          <w:szCs w:val="22"/>
        </w:rPr>
        <w:t xml:space="preserve">value </w:t>
      </w:r>
      <w:r w:rsidR="00487E8C" w:rsidRPr="006214AB">
        <w:rPr>
          <w:color w:val="000000"/>
          <w:szCs w:val="22"/>
        </w:rPr>
        <w:t xml:space="preserve">that may fit </w:t>
      </w:r>
      <w:r w:rsidR="006214AB">
        <w:rPr>
          <w:color w:val="000000"/>
          <w:szCs w:val="22"/>
        </w:rPr>
        <w:t xml:space="preserve">for </w:t>
      </w:r>
      <w:r w:rsidR="00487E8C" w:rsidRPr="006214AB">
        <w:rPr>
          <w:color w:val="000000"/>
          <w:szCs w:val="22"/>
        </w:rPr>
        <w:t>all the PRACH configurations with</w:t>
      </w:r>
      <m:oMath>
        <m:r>
          <w:rPr>
            <w:rFonts w:ascii="Cambria Math" w:hAnsi="Cambria Math"/>
            <w:color w:val="000000"/>
            <w:szCs w:val="22"/>
            <w:lang w:val="en-US"/>
          </w:rPr>
          <m:t xml:space="preserve"> x</m:t>
        </m:r>
      </m:oMath>
      <w:r w:rsidR="00487E8C" w:rsidRPr="006214AB">
        <w:rPr>
          <w:color w:val="000000"/>
          <w:szCs w:val="22"/>
          <w:lang w:val="en-US"/>
        </w:rPr>
        <w:t xml:space="preserve"> = </w:t>
      </w:r>
      <w:r w:rsidR="00487E8C" w:rsidRPr="006214AB">
        <w:rPr>
          <w:color w:val="000000"/>
          <w:szCs w:val="22"/>
        </w:rPr>
        <w:t xml:space="preserve">1. Also, it may give a redundant configuration that could be anyways used with </w:t>
      </w:r>
      <w:r w:rsidR="00AF30D8">
        <w:rPr>
          <w:color w:val="000000"/>
          <w:szCs w:val="22"/>
        </w:rPr>
        <w:t xml:space="preserve">a </w:t>
      </w:r>
      <w:r w:rsidR="00487E8C" w:rsidRPr="006214AB">
        <w:rPr>
          <w:color w:val="000000"/>
          <w:szCs w:val="22"/>
        </w:rPr>
        <w:t xml:space="preserve">different PRACH </w:t>
      </w:r>
      <w:r w:rsidR="00487E8C" w:rsidRPr="006214AB">
        <w:rPr>
          <w:color w:val="000000"/>
          <w:szCs w:val="22"/>
        </w:rPr>
        <w:lastRenderedPageBreak/>
        <w:t xml:space="preserve">configuration index. Considering </w:t>
      </w:r>
      <w:r w:rsidR="006214AB">
        <w:rPr>
          <w:color w:val="000000"/>
          <w:szCs w:val="22"/>
        </w:rPr>
        <w:t xml:space="preserve">these concerns </w:t>
      </w:r>
      <w:proofErr w:type="gramStart"/>
      <w:r w:rsidR="006214AB">
        <w:rPr>
          <w:color w:val="000000"/>
          <w:szCs w:val="22"/>
        </w:rPr>
        <w:t>and also</w:t>
      </w:r>
      <w:proofErr w:type="gramEnd"/>
      <w:r w:rsidR="006214AB">
        <w:rPr>
          <w:color w:val="000000"/>
          <w:szCs w:val="22"/>
        </w:rPr>
        <w:t xml:space="preserve"> the main issue </w:t>
      </w:r>
      <w:r w:rsidR="00AF30D8">
        <w:rPr>
          <w:color w:val="000000"/>
          <w:szCs w:val="22"/>
        </w:rPr>
        <w:t>being</w:t>
      </w:r>
      <w:r w:rsidR="00487E8C" w:rsidRPr="006214AB">
        <w:rPr>
          <w:color w:val="000000"/>
          <w:szCs w:val="22"/>
        </w:rPr>
        <w:t xml:space="preserve"> already a rare situation, we see that having </w:t>
      </w:r>
      <w:r w:rsidR="006214AB">
        <w:rPr>
          <w:color w:val="000000"/>
          <w:szCs w:val="22"/>
        </w:rPr>
        <w:t xml:space="preserve">a </w:t>
      </w:r>
      <w:r w:rsidR="00487E8C" w:rsidRPr="006214AB">
        <w:rPr>
          <w:color w:val="000000"/>
          <w:szCs w:val="22"/>
        </w:rPr>
        <w:t xml:space="preserve">complex solution would not be useful. Therefore, the </w:t>
      </w:r>
      <w:r w:rsidR="006B6FAD">
        <w:rPr>
          <w:color w:val="000000"/>
          <w:szCs w:val="22"/>
        </w:rPr>
        <w:t>Rel-15</w:t>
      </w:r>
      <w:r w:rsidR="00487E8C" w:rsidRPr="006214AB">
        <w:rPr>
          <w:color w:val="000000"/>
          <w:szCs w:val="22"/>
        </w:rPr>
        <w:t xml:space="preserve"> configurations shall be used for IAB operation when the</w:t>
      </w:r>
      <w:r w:rsidR="006214AB">
        <w:rPr>
          <w:color w:val="000000"/>
          <w:szCs w:val="22"/>
        </w:rPr>
        <w:t xml:space="preserve"> parameter</w:t>
      </w:r>
      <w:r w:rsidR="00487E8C" w:rsidRPr="006214AB">
        <w:rPr>
          <w:color w:val="000000"/>
          <w:szCs w:val="22"/>
        </w:rPr>
        <w:t xml:space="preserve"> </w:t>
      </w:r>
      <m:oMath>
        <m:r>
          <w:rPr>
            <w:rFonts w:ascii="Cambria Math" w:hAnsi="Cambria Math"/>
            <w:color w:val="000000"/>
            <w:szCs w:val="22"/>
            <w:lang w:val="en-US"/>
          </w:rPr>
          <m:t>x</m:t>
        </m:r>
      </m:oMath>
      <w:r w:rsidR="00487E8C" w:rsidRPr="006214AB">
        <w:rPr>
          <w:color w:val="000000"/>
          <w:szCs w:val="22"/>
          <w:lang w:val="en-US"/>
        </w:rPr>
        <w:t xml:space="preserve"> = </w:t>
      </w:r>
      <w:r w:rsidR="00487E8C" w:rsidRPr="006214AB">
        <w:rPr>
          <w:color w:val="000000"/>
          <w:szCs w:val="22"/>
        </w:rPr>
        <w:t xml:space="preserve">1. </w:t>
      </w:r>
    </w:p>
    <w:p w14:paraId="7DC88B86" w14:textId="47EB665A" w:rsidR="00DE765E" w:rsidRPr="006214AB" w:rsidRDefault="00487E8C" w:rsidP="00DE765E">
      <w:pPr>
        <w:spacing w:after="0"/>
        <w:jc w:val="both"/>
        <w:rPr>
          <w:color w:val="000000"/>
          <w:szCs w:val="22"/>
          <w:lang w:val="en-US"/>
        </w:rPr>
      </w:pPr>
      <w:r w:rsidRPr="006214AB">
        <w:rPr>
          <w:b/>
          <w:szCs w:val="22"/>
        </w:rPr>
        <w:t>Proposal 2</w:t>
      </w:r>
      <w:r w:rsidRPr="006214AB">
        <w:rPr>
          <w:szCs w:val="22"/>
        </w:rPr>
        <w:t xml:space="preserve">: The </w:t>
      </w:r>
      <w:r w:rsidRPr="006214AB">
        <w:rPr>
          <w:rFonts w:eastAsia="Malgun Gothic"/>
          <w:szCs w:val="22"/>
        </w:rPr>
        <w:t>offset parameter (</w:t>
      </w:r>
      <m:oMath>
        <m:sSub>
          <m:sSubPr>
            <m:ctrlPr>
              <w:rPr>
                <w:rFonts w:ascii="Cambria Math" w:hAnsi="Cambria Math"/>
                <w:i/>
                <w:color w:val="000000"/>
                <w:szCs w:val="22"/>
                <w:lang w:val="en-US"/>
              </w:rPr>
            </m:ctrlPr>
          </m:sSubPr>
          <m:e>
            <m:r>
              <w:rPr>
                <w:rFonts w:ascii="Cambria Math" w:hAnsi="Cambria Math"/>
                <w:color w:val="000000"/>
                <w:szCs w:val="22"/>
                <w:lang w:val="en-US"/>
              </w:rPr>
              <m:t>y</m:t>
            </m:r>
          </m:e>
          <m:sub>
            <m:r>
              <m:rPr>
                <m:sty m:val="p"/>
              </m:rPr>
              <w:rPr>
                <w:rFonts w:ascii="Cambria Math" w:hAnsi="Cambria Math"/>
                <w:color w:val="000000"/>
                <w:szCs w:val="22"/>
                <w:lang w:val="en-US"/>
              </w:rPr>
              <m:t>offset</m:t>
            </m:r>
          </m:sub>
        </m:sSub>
        <m:r>
          <w:rPr>
            <w:rFonts w:ascii="Cambria Math" w:hAnsi="Cambria Math"/>
            <w:color w:val="000000"/>
            <w:szCs w:val="22"/>
            <w:lang w:val="en-US"/>
          </w:rPr>
          <m:t>)</m:t>
        </m:r>
      </m:oMath>
      <w:r w:rsidRPr="006214AB">
        <w:rPr>
          <w:rFonts w:eastAsia="Malgun Gothic"/>
          <w:szCs w:val="22"/>
        </w:rPr>
        <w:t xml:space="preserve"> </w:t>
      </w:r>
      <w:r w:rsidR="00DE765E" w:rsidRPr="006214AB">
        <w:rPr>
          <w:rFonts w:eastAsia="Malgun Gothic"/>
          <w:szCs w:val="22"/>
        </w:rPr>
        <w:t xml:space="preserve">of </w:t>
      </w:r>
      <w:r w:rsidRPr="006214AB">
        <w:rPr>
          <w:color w:val="000000"/>
          <w:szCs w:val="22"/>
          <w:lang w:val="en-US"/>
        </w:rPr>
        <w:t xml:space="preserve">the frame based offset parameter of ‘y’ </w:t>
      </w:r>
      <w:r w:rsidR="009F2575">
        <w:rPr>
          <w:color w:val="000000"/>
          <w:szCs w:val="22"/>
          <w:lang w:val="en-US"/>
        </w:rPr>
        <w:t>shall</w:t>
      </w:r>
      <w:r w:rsidR="00DE765E" w:rsidRPr="006214AB">
        <w:rPr>
          <w:color w:val="000000"/>
          <w:szCs w:val="22"/>
          <w:lang w:val="en-US"/>
        </w:rPr>
        <w:t xml:space="preserve"> be defined for IAB operation</w:t>
      </w:r>
      <w:r w:rsidR="009F2575">
        <w:rPr>
          <w:color w:val="000000"/>
          <w:szCs w:val="22"/>
          <w:lang w:val="en-US"/>
        </w:rPr>
        <w:t xml:space="preserve"> as follows</w:t>
      </w:r>
      <w:r w:rsidR="00DE765E" w:rsidRPr="006214AB">
        <w:rPr>
          <w:color w:val="000000"/>
          <w:szCs w:val="22"/>
          <w:lang w:val="en-US"/>
        </w:rPr>
        <w:t xml:space="preserve">. </w:t>
      </w:r>
    </w:p>
    <w:p w14:paraId="77985F08" w14:textId="647E8660" w:rsidR="00DE765E" w:rsidRPr="006214AB" w:rsidRDefault="0062616A" w:rsidP="00DE765E">
      <w:pPr>
        <w:pStyle w:val="ListParagraph"/>
        <w:numPr>
          <w:ilvl w:val="0"/>
          <w:numId w:val="21"/>
        </w:numPr>
        <w:rPr>
          <w:rFonts w:ascii="Times New Roman" w:hAnsi="Times New Roman"/>
          <w:color w:val="000000"/>
          <w:sz w:val="20"/>
        </w:rPr>
      </w:pPr>
      <m:oMath>
        <m:sSub>
          <m:sSubPr>
            <m:ctrlPr>
              <w:rPr>
                <w:rFonts w:ascii="Cambria Math" w:hAnsi="Cambria Math"/>
                <w:i/>
                <w:color w:val="000000"/>
                <w:sz w:val="20"/>
              </w:rPr>
            </m:ctrlPr>
          </m:sSubPr>
          <m:e>
            <m:r>
              <w:rPr>
                <w:rFonts w:ascii="Cambria Math" w:hAnsi="Cambria Math"/>
                <w:color w:val="000000"/>
                <w:sz w:val="20"/>
              </w:rPr>
              <m:t>y</m:t>
            </m:r>
          </m:e>
          <m:sub>
            <m:r>
              <m:rPr>
                <m:sty m:val="p"/>
              </m:rPr>
              <w:rPr>
                <w:rFonts w:ascii="Cambria Math" w:hAnsi="Cambria Math"/>
                <w:color w:val="000000"/>
                <w:sz w:val="20"/>
              </w:rPr>
              <m:t>offset</m:t>
            </m:r>
          </m:sub>
        </m:sSub>
        <m:r>
          <w:rPr>
            <w:rFonts w:ascii="Cambria Math" w:hAnsi="Cambria Math"/>
            <w:color w:val="000000"/>
            <w:sz w:val="20"/>
          </w:rPr>
          <m:t>=</m:t>
        </m:r>
        <m:f>
          <m:fPr>
            <m:type m:val="lin"/>
            <m:ctrlPr>
              <w:rPr>
                <w:rFonts w:ascii="Cambria Math" w:eastAsia="Times New Roman" w:hAnsi="Cambria Math"/>
                <w:i/>
                <w:color w:val="000000"/>
                <w:sz w:val="20"/>
              </w:rPr>
            </m:ctrlPr>
          </m:fPr>
          <m:num>
            <m:r>
              <w:rPr>
                <w:rFonts w:ascii="Cambria Math" w:hAnsi="Cambria Math"/>
                <w:color w:val="000000"/>
                <w:sz w:val="20"/>
              </w:rPr>
              <m:t>x</m:t>
            </m:r>
          </m:num>
          <m:den>
            <m:r>
              <w:rPr>
                <w:rFonts w:ascii="Cambria Math" w:hAnsi="Cambria Math"/>
                <w:color w:val="000000"/>
                <w:sz w:val="20"/>
              </w:rPr>
              <m:t>2</m:t>
            </m:r>
          </m:den>
        </m:f>
        <m:r>
          <w:rPr>
            <w:rFonts w:ascii="Cambria Math" w:hAnsi="Cambria Math"/>
            <w:color w:val="000000"/>
            <w:sz w:val="20"/>
          </w:rPr>
          <m:t xml:space="preserve"> </m:t>
        </m:r>
      </m:oMath>
      <w:r w:rsidR="00487E8C" w:rsidRPr="006214AB">
        <w:rPr>
          <w:rFonts w:ascii="Times New Roman" w:hAnsi="Times New Roman"/>
          <w:color w:val="000000"/>
          <w:sz w:val="20"/>
        </w:rPr>
        <w:t xml:space="preserve">for </w:t>
      </w:r>
      <m:oMath>
        <m:r>
          <w:rPr>
            <w:rFonts w:ascii="Cambria Math" w:hAnsi="Cambria Math"/>
            <w:color w:val="000000"/>
            <w:sz w:val="20"/>
          </w:rPr>
          <m:t>x</m:t>
        </m:r>
      </m:oMath>
      <w:r w:rsidR="00487E8C" w:rsidRPr="006214AB">
        <w:rPr>
          <w:rFonts w:ascii="Times New Roman" w:hAnsi="Times New Roman"/>
          <w:color w:val="000000"/>
          <w:sz w:val="20"/>
        </w:rPr>
        <w:t xml:space="preserve"> = 16</w:t>
      </w:r>
      <w:r w:rsidR="00DE765E" w:rsidRPr="006214AB">
        <w:rPr>
          <w:rFonts w:ascii="Times New Roman" w:hAnsi="Times New Roman"/>
          <w:color w:val="000000"/>
          <w:sz w:val="20"/>
        </w:rPr>
        <w:t xml:space="preserve">,8,4, and 2. </w:t>
      </w:r>
    </w:p>
    <w:p w14:paraId="64F5F7F9" w14:textId="57FF25B1" w:rsidR="00DE765E" w:rsidRPr="006214AB" w:rsidRDefault="00DE765E" w:rsidP="00D07171">
      <w:pPr>
        <w:pStyle w:val="ListParagraph"/>
        <w:numPr>
          <w:ilvl w:val="0"/>
          <w:numId w:val="21"/>
        </w:numPr>
        <w:rPr>
          <w:rFonts w:ascii="Times New Roman" w:hAnsi="Times New Roman"/>
          <w:color w:val="000000"/>
          <w:sz w:val="20"/>
        </w:rPr>
      </w:pPr>
      <w:r w:rsidRPr="006214AB">
        <w:rPr>
          <w:rFonts w:ascii="Times New Roman" w:hAnsi="Times New Roman"/>
          <w:color w:val="000000"/>
          <w:sz w:val="20"/>
        </w:rPr>
        <w:t xml:space="preserve">Rel-15 PRACH configurations are reused for </w:t>
      </w:r>
      <m:oMath>
        <m:r>
          <w:rPr>
            <w:rFonts w:ascii="Cambria Math" w:hAnsi="Cambria Math"/>
            <w:color w:val="000000"/>
            <w:sz w:val="20"/>
          </w:rPr>
          <m:t>x</m:t>
        </m:r>
      </m:oMath>
      <w:r w:rsidRPr="006214AB">
        <w:rPr>
          <w:rFonts w:ascii="Times New Roman" w:hAnsi="Times New Roman"/>
          <w:color w:val="000000"/>
          <w:sz w:val="20"/>
        </w:rPr>
        <w:t xml:space="preserve"> = 1</w:t>
      </w:r>
    </w:p>
    <w:p w14:paraId="0D920029" w14:textId="37113CE5" w:rsidR="00DE765E" w:rsidRDefault="00DE765E" w:rsidP="00DE765E">
      <w:pPr>
        <w:spacing w:after="0"/>
        <w:jc w:val="both"/>
        <w:rPr>
          <w:color w:val="000000"/>
        </w:rPr>
      </w:pPr>
    </w:p>
    <w:p w14:paraId="38D93251" w14:textId="77777777" w:rsidR="000C3831" w:rsidRDefault="000F77CF" w:rsidP="005C2312">
      <w:pPr>
        <w:pStyle w:val="Heading1"/>
      </w:pPr>
      <w:bookmarkStart w:id="4" w:name="_Toc415085486"/>
      <w:bookmarkStart w:id="5" w:name="_Toc503902229"/>
      <w:r w:rsidRPr="00430E20">
        <w:rPr>
          <w:lang w:val="en-US"/>
        </w:rPr>
        <w:t>3</w:t>
      </w:r>
      <w:r w:rsidR="0067353C" w:rsidRPr="00430E20">
        <w:rPr>
          <w:lang w:val="en-US"/>
        </w:rPr>
        <w:t xml:space="preserve"> </w:t>
      </w:r>
      <w:r w:rsidR="00FA2868">
        <w:rPr>
          <w:lang w:val="en-US"/>
        </w:rPr>
        <w:tab/>
      </w:r>
      <w:r w:rsidR="00373629" w:rsidRPr="00430E20">
        <w:rPr>
          <w:lang w:val="en-US"/>
        </w:rPr>
        <w:t>Conclusion</w:t>
      </w:r>
      <w:bookmarkStart w:id="6" w:name="_GoBack"/>
      <w:bookmarkEnd w:id="4"/>
      <w:bookmarkEnd w:id="5"/>
      <w:bookmarkEnd w:id="6"/>
    </w:p>
    <w:p w14:paraId="7F6C3100" w14:textId="77777777" w:rsidR="00EB08AD" w:rsidRPr="006214AB" w:rsidRDefault="00EB08AD" w:rsidP="00F708BD">
      <w:pPr>
        <w:spacing w:after="120"/>
        <w:jc w:val="both"/>
        <w:rPr>
          <w:rFonts w:eastAsia="MS Mincho"/>
          <w:szCs w:val="22"/>
          <w:lang w:eastAsia="ja-JP"/>
        </w:rPr>
      </w:pPr>
      <w:r w:rsidRPr="006214AB">
        <w:rPr>
          <w:rFonts w:eastAsia="MS Mincho"/>
          <w:szCs w:val="22"/>
          <w:lang w:eastAsia="ja-JP"/>
        </w:rPr>
        <w:t xml:space="preserve">In this contribution, we discussed the RACH enhancements for IAB operation and have the following proposals. </w:t>
      </w:r>
    </w:p>
    <w:p w14:paraId="419B8661" w14:textId="77777777" w:rsidR="00104B97" w:rsidRPr="006214AB" w:rsidRDefault="00104B97" w:rsidP="00104B97">
      <w:pPr>
        <w:spacing w:after="0"/>
        <w:jc w:val="both"/>
        <w:rPr>
          <w:szCs w:val="22"/>
        </w:rPr>
      </w:pPr>
      <w:r w:rsidRPr="006214AB">
        <w:rPr>
          <w:b/>
          <w:szCs w:val="22"/>
        </w:rPr>
        <w:t>Proposal 1</w:t>
      </w:r>
      <w:r w:rsidRPr="006214AB">
        <w:rPr>
          <w:szCs w:val="22"/>
        </w:rPr>
        <w:t xml:space="preserve">: The </w:t>
      </w:r>
      <w:r w:rsidRPr="006214AB">
        <w:rPr>
          <w:rFonts w:eastAsia="Malgun Gothic"/>
          <w:szCs w:val="22"/>
        </w:rPr>
        <w:t>scaling parameter (</w:t>
      </w:r>
      <m:oMath>
        <m:r>
          <w:rPr>
            <w:rFonts w:ascii="Cambria Math" w:hAnsi="Cambria Math"/>
            <w:color w:val="000000"/>
            <w:szCs w:val="22"/>
            <w:lang w:val="en-US"/>
          </w:rPr>
          <m:t>λ)</m:t>
        </m:r>
      </m:oMath>
      <w:r w:rsidRPr="006214AB">
        <w:rPr>
          <w:rFonts w:eastAsia="Malgun Gothic"/>
          <w:szCs w:val="22"/>
        </w:rPr>
        <w:t xml:space="preserve"> of ‘x’ from the PRACH configuration table(s)</w:t>
      </w:r>
      <w:r w:rsidRPr="006214AB">
        <w:rPr>
          <w:szCs w:val="22"/>
        </w:rPr>
        <w:t xml:space="preserve"> should be predefined for IAB operation. The values for the scaling parameter (</w:t>
      </w:r>
      <m:oMath>
        <m:r>
          <w:rPr>
            <w:rFonts w:ascii="Cambria Math" w:hAnsi="Cambria Math"/>
            <w:color w:val="000000"/>
            <w:szCs w:val="22"/>
            <w:lang w:val="en-US"/>
          </w:rPr>
          <m:t>λ)</m:t>
        </m:r>
      </m:oMath>
      <w:r>
        <w:rPr>
          <w:szCs w:val="22"/>
        </w:rPr>
        <w:t xml:space="preserve"> are</w:t>
      </w:r>
    </w:p>
    <w:p w14:paraId="067F0DEF" w14:textId="77777777" w:rsidR="00104B97" w:rsidRPr="006214AB" w:rsidRDefault="00104B97" w:rsidP="00104B97">
      <w:pPr>
        <w:pStyle w:val="ListParagraph"/>
        <w:numPr>
          <w:ilvl w:val="0"/>
          <w:numId w:val="17"/>
        </w:numPr>
        <w:spacing w:after="0"/>
        <w:jc w:val="both"/>
        <w:rPr>
          <w:rFonts w:ascii="Times New Roman" w:hAnsi="Times New Roman"/>
          <w:sz w:val="20"/>
        </w:rPr>
      </w:pPr>
      <m:oMath>
        <m:r>
          <w:rPr>
            <w:rFonts w:ascii="Cambria Math" w:hAnsi="Cambria Math"/>
            <w:color w:val="000000"/>
            <w:sz w:val="20"/>
          </w:rPr>
          <m:t xml:space="preserve">λ=4 </m:t>
        </m:r>
      </m:oMath>
      <w:r w:rsidRPr="006214AB">
        <w:rPr>
          <w:rFonts w:ascii="Times New Roman" w:hAnsi="Times New Roman"/>
          <w:color w:val="000000"/>
          <w:sz w:val="20"/>
        </w:rPr>
        <w:t xml:space="preserve">for </w:t>
      </w:r>
      <m:oMath>
        <m:r>
          <w:rPr>
            <w:rFonts w:ascii="Cambria Math" w:hAnsi="Cambria Math"/>
            <w:color w:val="000000"/>
            <w:sz w:val="20"/>
          </w:rPr>
          <m:t>x</m:t>
        </m:r>
      </m:oMath>
      <w:r w:rsidRPr="006214AB">
        <w:rPr>
          <w:rFonts w:ascii="Times New Roman" w:hAnsi="Times New Roman"/>
          <w:color w:val="000000"/>
          <w:sz w:val="20"/>
        </w:rPr>
        <w:t xml:space="preserve"> = 16 and 4.</w:t>
      </w:r>
    </w:p>
    <w:p w14:paraId="5346435E" w14:textId="77777777" w:rsidR="00104B97" w:rsidRPr="006214AB" w:rsidRDefault="00104B97" w:rsidP="00104B97">
      <w:pPr>
        <w:pStyle w:val="ListParagraph"/>
        <w:numPr>
          <w:ilvl w:val="0"/>
          <w:numId w:val="17"/>
        </w:numPr>
        <w:spacing w:after="0"/>
        <w:jc w:val="both"/>
        <w:rPr>
          <w:rFonts w:ascii="Times New Roman" w:hAnsi="Times New Roman"/>
          <w:sz w:val="20"/>
        </w:rPr>
      </w:pPr>
      <m:oMath>
        <m:r>
          <w:rPr>
            <w:rFonts w:ascii="Cambria Math" w:hAnsi="Cambria Math"/>
            <w:color w:val="000000"/>
            <w:sz w:val="20"/>
          </w:rPr>
          <m:t xml:space="preserve">λ=1 </m:t>
        </m:r>
      </m:oMath>
      <w:r w:rsidRPr="006214AB">
        <w:rPr>
          <w:rFonts w:ascii="Times New Roman" w:hAnsi="Times New Roman"/>
          <w:color w:val="000000"/>
          <w:sz w:val="20"/>
        </w:rPr>
        <w:t xml:space="preserve">for </w:t>
      </w:r>
      <m:oMath>
        <m:r>
          <w:rPr>
            <w:rFonts w:ascii="Cambria Math" w:hAnsi="Cambria Math"/>
            <w:color w:val="000000"/>
            <w:sz w:val="20"/>
          </w:rPr>
          <m:t>x</m:t>
        </m:r>
      </m:oMath>
      <w:r w:rsidRPr="006214AB">
        <w:rPr>
          <w:rFonts w:ascii="Times New Roman" w:hAnsi="Times New Roman"/>
          <w:color w:val="000000"/>
          <w:sz w:val="20"/>
        </w:rPr>
        <w:t xml:space="preserve"> = 8, 2, and 1.</w:t>
      </w:r>
    </w:p>
    <w:p w14:paraId="3501647F" w14:textId="77777777" w:rsidR="009F2575" w:rsidRDefault="009F2575" w:rsidP="009F2575">
      <w:pPr>
        <w:spacing w:after="0"/>
        <w:jc w:val="both"/>
        <w:rPr>
          <w:b/>
          <w:szCs w:val="22"/>
        </w:rPr>
      </w:pPr>
    </w:p>
    <w:p w14:paraId="3FAB8775" w14:textId="77777777" w:rsidR="00104B97" w:rsidRPr="006214AB" w:rsidRDefault="00104B97" w:rsidP="00104B97">
      <w:pPr>
        <w:spacing w:after="0"/>
        <w:jc w:val="both"/>
        <w:rPr>
          <w:color w:val="000000"/>
          <w:szCs w:val="22"/>
          <w:lang w:val="en-US"/>
        </w:rPr>
      </w:pPr>
      <w:r w:rsidRPr="006214AB">
        <w:rPr>
          <w:b/>
          <w:szCs w:val="22"/>
        </w:rPr>
        <w:t>Proposal 2</w:t>
      </w:r>
      <w:r w:rsidRPr="006214AB">
        <w:rPr>
          <w:szCs w:val="22"/>
        </w:rPr>
        <w:t xml:space="preserve">: The </w:t>
      </w:r>
      <w:r w:rsidRPr="006214AB">
        <w:rPr>
          <w:rFonts w:eastAsia="Malgun Gothic"/>
          <w:szCs w:val="22"/>
        </w:rPr>
        <w:t>offset parameter (</w:t>
      </w:r>
      <m:oMath>
        <m:sSub>
          <m:sSubPr>
            <m:ctrlPr>
              <w:rPr>
                <w:rFonts w:ascii="Cambria Math" w:hAnsi="Cambria Math"/>
                <w:i/>
                <w:color w:val="000000"/>
                <w:szCs w:val="22"/>
                <w:lang w:val="en-US"/>
              </w:rPr>
            </m:ctrlPr>
          </m:sSubPr>
          <m:e>
            <m:r>
              <w:rPr>
                <w:rFonts w:ascii="Cambria Math" w:hAnsi="Cambria Math"/>
                <w:color w:val="000000"/>
                <w:szCs w:val="22"/>
                <w:lang w:val="en-US"/>
              </w:rPr>
              <m:t>y</m:t>
            </m:r>
          </m:e>
          <m:sub>
            <m:r>
              <m:rPr>
                <m:sty m:val="p"/>
              </m:rPr>
              <w:rPr>
                <w:rFonts w:ascii="Cambria Math" w:hAnsi="Cambria Math"/>
                <w:color w:val="000000"/>
                <w:szCs w:val="22"/>
                <w:lang w:val="en-US"/>
              </w:rPr>
              <m:t>offset</m:t>
            </m:r>
          </m:sub>
        </m:sSub>
        <m:r>
          <w:rPr>
            <w:rFonts w:ascii="Cambria Math" w:hAnsi="Cambria Math"/>
            <w:color w:val="000000"/>
            <w:szCs w:val="22"/>
            <w:lang w:val="en-US"/>
          </w:rPr>
          <m:t>)</m:t>
        </m:r>
      </m:oMath>
      <w:r w:rsidRPr="006214AB">
        <w:rPr>
          <w:rFonts w:eastAsia="Malgun Gothic"/>
          <w:szCs w:val="22"/>
        </w:rPr>
        <w:t xml:space="preserve"> of </w:t>
      </w:r>
      <w:r w:rsidRPr="006214AB">
        <w:rPr>
          <w:color w:val="000000"/>
          <w:szCs w:val="22"/>
          <w:lang w:val="en-US"/>
        </w:rPr>
        <w:t xml:space="preserve">the frame based offset parameter of ‘y’ </w:t>
      </w:r>
      <w:r>
        <w:rPr>
          <w:color w:val="000000"/>
          <w:szCs w:val="22"/>
          <w:lang w:val="en-US"/>
        </w:rPr>
        <w:t>shall</w:t>
      </w:r>
      <w:r w:rsidRPr="006214AB">
        <w:rPr>
          <w:color w:val="000000"/>
          <w:szCs w:val="22"/>
          <w:lang w:val="en-US"/>
        </w:rPr>
        <w:t xml:space="preserve"> be defined for IAB operation</w:t>
      </w:r>
      <w:r>
        <w:rPr>
          <w:color w:val="000000"/>
          <w:szCs w:val="22"/>
          <w:lang w:val="en-US"/>
        </w:rPr>
        <w:t xml:space="preserve"> as follows</w:t>
      </w:r>
      <w:r w:rsidRPr="006214AB">
        <w:rPr>
          <w:color w:val="000000"/>
          <w:szCs w:val="22"/>
          <w:lang w:val="en-US"/>
        </w:rPr>
        <w:t xml:space="preserve">. </w:t>
      </w:r>
    </w:p>
    <w:p w14:paraId="3278651A" w14:textId="77777777" w:rsidR="00104B97" w:rsidRPr="006214AB" w:rsidRDefault="0062616A" w:rsidP="00104B97">
      <w:pPr>
        <w:pStyle w:val="ListParagraph"/>
        <w:numPr>
          <w:ilvl w:val="0"/>
          <w:numId w:val="21"/>
        </w:numPr>
        <w:rPr>
          <w:rFonts w:ascii="Times New Roman" w:hAnsi="Times New Roman"/>
          <w:color w:val="000000"/>
          <w:sz w:val="20"/>
        </w:rPr>
      </w:pPr>
      <m:oMath>
        <m:sSub>
          <m:sSubPr>
            <m:ctrlPr>
              <w:rPr>
                <w:rFonts w:ascii="Cambria Math" w:hAnsi="Cambria Math"/>
                <w:i/>
                <w:color w:val="000000"/>
                <w:sz w:val="20"/>
              </w:rPr>
            </m:ctrlPr>
          </m:sSubPr>
          <m:e>
            <m:r>
              <w:rPr>
                <w:rFonts w:ascii="Cambria Math" w:hAnsi="Cambria Math"/>
                <w:color w:val="000000"/>
                <w:sz w:val="20"/>
              </w:rPr>
              <m:t>y</m:t>
            </m:r>
          </m:e>
          <m:sub>
            <m:r>
              <m:rPr>
                <m:sty m:val="p"/>
              </m:rPr>
              <w:rPr>
                <w:rFonts w:ascii="Cambria Math" w:hAnsi="Cambria Math"/>
                <w:color w:val="000000"/>
                <w:sz w:val="20"/>
              </w:rPr>
              <m:t>offset</m:t>
            </m:r>
          </m:sub>
        </m:sSub>
        <m:r>
          <w:rPr>
            <w:rFonts w:ascii="Cambria Math" w:hAnsi="Cambria Math"/>
            <w:color w:val="000000"/>
            <w:sz w:val="20"/>
          </w:rPr>
          <m:t>=</m:t>
        </m:r>
        <m:f>
          <m:fPr>
            <m:type m:val="lin"/>
            <m:ctrlPr>
              <w:rPr>
                <w:rFonts w:ascii="Cambria Math" w:eastAsia="Times New Roman" w:hAnsi="Cambria Math"/>
                <w:i/>
                <w:color w:val="000000"/>
                <w:sz w:val="20"/>
              </w:rPr>
            </m:ctrlPr>
          </m:fPr>
          <m:num>
            <m:r>
              <w:rPr>
                <w:rFonts w:ascii="Cambria Math" w:hAnsi="Cambria Math"/>
                <w:color w:val="000000"/>
                <w:sz w:val="20"/>
              </w:rPr>
              <m:t>x</m:t>
            </m:r>
          </m:num>
          <m:den>
            <m:r>
              <w:rPr>
                <w:rFonts w:ascii="Cambria Math" w:hAnsi="Cambria Math"/>
                <w:color w:val="000000"/>
                <w:sz w:val="20"/>
              </w:rPr>
              <m:t>2</m:t>
            </m:r>
          </m:den>
        </m:f>
        <m:r>
          <w:rPr>
            <w:rFonts w:ascii="Cambria Math" w:hAnsi="Cambria Math"/>
            <w:color w:val="000000"/>
            <w:sz w:val="20"/>
          </w:rPr>
          <m:t xml:space="preserve"> </m:t>
        </m:r>
      </m:oMath>
      <w:r w:rsidR="00104B97" w:rsidRPr="006214AB">
        <w:rPr>
          <w:rFonts w:ascii="Times New Roman" w:hAnsi="Times New Roman"/>
          <w:color w:val="000000"/>
          <w:sz w:val="20"/>
        </w:rPr>
        <w:t xml:space="preserve">for </w:t>
      </w:r>
      <m:oMath>
        <m:r>
          <w:rPr>
            <w:rFonts w:ascii="Cambria Math" w:hAnsi="Cambria Math"/>
            <w:color w:val="000000"/>
            <w:sz w:val="20"/>
          </w:rPr>
          <m:t>x</m:t>
        </m:r>
      </m:oMath>
      <w:r w:rsidR="00104B97" w:rsidRPr="006214AB">
        <w:rPr>
          <w:rFonts w:ascii="Times New Roman" w:hAnsi="Times New Roman"/>
          <w:color w:val="000000"/>
          <w:sz w:val="20"/>
        </w:rPr>
        <w:t xml:space="preserve"> = 16,8,4, and 2. </w:t>
      </w:r>
    </w:p>
    <w:p w14:paraId="4FCB68DE" w14:textId="77777777" w:rsidR="00104B97" w:rsidRPr="006214AB" w:rsidRDefault="00104B97" w:rsidP="00104B97">
      <w:pPr>
        <w:pStyle w:val="ListParagraph"/>
        <w:numPr>
          <w:ilvl w:val="0"/>
          <w:numId w:val="21"/>
        </w:numPr>
        <w:rPr>
          <w:rFonts w:ascii="Times New Roman" w:hAnsi="Times New Roman"/>
          <w:color w:val="000000"/>
          <w:sz w:val="20"/>
        </w:rPr>
      </w:pPr>
      <w:r w:rsidRPr="006214AB">
        <w:rPr>
          <w:rFonts w:ascii="Times New Roman" w:hAnsi="Times New Roman"/>
          <w:color w:val="000000"/>
          <w:sz w:val="20"/>
        </w:rPr>
        <w:t xml:space="preserve">Rel-15 PRACH configurations are reused for </w:t>
      </w:r>
      <m:oMath>
        <m:r>
          <w:rPr>
            <w:rFonts w:ascii="Cambria Math" w:hAnsi="Cambria Math"/>
            <w:color w:val="000000"/>
            <w:sz w:val="20"/>
          </w:rPr>
          <m:t>x</m:t>
        </m:r>
      </m:oMath>
      <w:r w:rsidRPr="006214AB">
        <w:rPr>
          <w:rFonts w:ascii="Times New Roman" w:hAnsi="Times New Roman"/>
          <w:color w:val="000000"/>
          <w:sz w:val="20"/>
        </w:rPr>
        <w:t xml:space="preserve"> = 1</w:t>
      </w:r>
    </w:p>
    <w:p w14:paraId="739CF70D" w14:textId="77777777" w:rsidR="00272D96" w:rsidRPr="006214AB" w:rsidRDefault="00272D96" w:rsidP="005437A0">
      <w:pPr>
        <w:rPr>
          <w:sz w:val="18"/>
          <w:lang w:val="en-US"/>
        </w:rPr>
      </w:pPr>
    </w:p>
    <w:p w14:paraId="67BEA2AF" w14:textId="77777777" w:rsidR="000C3831" w:rsidRPr="00A51522" w:rsidRDefault="000C3831" w:rsidP="000C3831">
      <w:pPr>
        <w:pStyle w:val="Heading1"/>
      </w:pPr>
      <w:r w:rsidRPr="00A51522">
        <w:t xml:space="preserve">References </w:t>
      </w:r>
    </w:p>
    <w:p w14:paraId="1774023F" w14:textId="77777777" w:rsidR="008E6BD3" w:rsidRPr="006214AB" w:rsidRDefault="000040D2" w:rsidP="000040D2">
      <w:pPr>
        <w:numPr>
          <w:ilvl w:val="0"/>
          <w:numId w:val="8"/>
        </w:numPr>
        <w:overflowPunct w:val="0"/>
        <w:autoSpaceDE w:val="0"/>
        <w:autoSpaceDN w:val="0"/>
        <w:adjustRightInd w:val="0"/>
        <w:textAlignment w:val="baseline"/>
        <w:rPr>
          <w:szCs w:val="22"/>
        </w:rPr>
      </w:pPr>
      <w:bookmarkStart w:id="7" w:name="_Ref525649415"/>
      <w:r w:rsidRPr="006214AB">
        <w:rPr>
          <w:iCs/>
          <w:szCs w:val="22"/>
        </w:rPr>
        <w:t>RP-182882, “</w:t>
      </w:r>
      <w:r w:rsidRPr="006214AB">
        <w:rPr>
          <w:rFonts w:eastAsia="Batang"/>
          <w:szCs w:val="22"/>
          <w:lang w:eastAsia="zh-CN"/>
        </w:rPr>
        <w:t>New WID: Integrated Access and Backhaul for NR”, RAN #92, Sorrento, Italy</w:t>
      </w:r>
      <w:r w:rsidR="008E6BD3" w:rsidRPr="006214AB">
        <w:rPr>
          <w:iCs/>
          <w:szCs w:val="22"/>
        </w:rPr>
        <w:t xml:space="preserve"> </w:t>
      </w:r>
      <w:bookmarkEnd w:id="7"/>
    </w:p>
    <w:p w14:paraId="5886E93A" w14:textId="4B4F1CE5" w:rsidR="00826434" w:rsidRPr="006214AB" w:rsidRDefault="00826434" w:rsidP="00826434">
      <w:pPr>
        <w:numPr>
          <w:ilvl w:val="0"/>
          <w:numId w:val="8"/>
        </w:numPr>
        <w:overflowPunct w:val="0"/>
        <w:autoSpaceDE w:val="0"/>
        <w:autoSpaceDN w:val="0"/>
        <w:adjustRightInd w:val="0"/>
        <w:textAlignment w:val="baseline"/>
        <w:rPr>
          <w:szCs w:val="22"/>
        </w:rPr>
      </w:pPr>
      <w:r w:rsidRPr="006214AB">
        <w:rPr>
          <w:szCs w:val="22"/>
          <w:lang w:val="en-US" w:eastAsia="fr-FR"/>
        </w:rPr>
        <w:t>“</w:t>
      </w:r>
      <w:r w:rsidR="00DE765E" w:rsidRPr="006214AB">
        <w:rPr>
          <w:rFonts w:cs="Arial"/>
          <w:szCs w:val="22"/>
        </w:rPr>
        <w:t>Chairman notes</w:t>
      </w:r>
      <w:r w:rsidRPr="006214AB">
        <w:rPr>
          <w:rFonts w:cs="Arial"/>
          <w:szCs w:val="22"/>
        </w:rPr>
        <w:t>”</w:t>
      </w:r>
      <w:r w:rsidR="00DE765E" w:rsidRPr="006214AB">
        <w:rPr>
          <w:rFonts w:cs="Arial"/>
          <w:szCs w:val="22"/>
        </w:rPr>
        <w:t xml:space="preserve"> RAN1 #96 meeting, Athens, Greece. </w:t>
      </w:r>
    </w:p>
    <w:p w14:paraId="4AAE34B4" w14:textId="77777777" w:rsidR="00826434" w:rsidRPr="006214AB" w:rsidRDefault="00826434" w:rsidP="00826434">
      <w:pPr>
        <w:numPr>
          <w:ilvl w:val="0"/>
          <w:numId w:val="8"/>
        </w:numPr>
        <w:overflowPunct w:val="0"/>
        <w:autoSpaceDE w:val="0"/>
        <w:autoSpaceDN w:val="0"/>
        <w:adjustRightInd w:val="0"/>
        <w:textAlignment w:val="baseline"/>
        <w:rPr>
          <w:szCs w:val="22"/>
        </w:rPr>
      </w:pPr>
      <w:r w:rsidRPr="006214AB">
        <w:rPr>
          <w:szCs w:val="22"/>
          <w:lang w:val="en-US" w:eastAsia="fr-FR"/>
        </w:rPr>
        <w:t>3GPP TS 38.211: "NR; Physical channels and modulation"</w:t>
      </w:r>
      <w:r w:rsidRPr="006214AB">
        <w:rPr>
          <w:i/>
          <w:iCs/>
          <w:szCs w:val="22"/>
        </w:rPr>
        <w:t xml:space="preserve"> </w:t>
      </w:r>
    </w:p>
    <w:p w14:paraId="1828C70B" w14:textId="77777777" w:rsidR="008E6BD3" w:rsidRPr="006C524F" w:rsidRDefault="008E6BD3" w:rsidP="008E6BD3">
      <w:pPr>
        <w:overflowPunct w:val="0"/>
        <w:autoSpaceDE w:val="0"/>
        <w:autoSpaceDN w:val="0"/>
        <w:adjustRightInd w:val="0"/>
        <w:ind w:left="357"/>
        <w:textAlignment w:val="baseline"/>
        <w:rPr>
          <w:sz w:val="18"/>
          <w:szCs w:val="18"/>
        </w:rPr>
      </w:pPr>
    </w:p>
    <w:p w14:paraId="6F68A8D1" w14:textId="77777777" w:rsidR="001F4E52" w:rsidRPr="00987B72" w:rsidRDefault="001F4E52" w:rsidP="009D6FAA"/>
    <w:sectPr w:rsidR="001F4E52" w:rsidRPr="00987B72" w:rsidSect="00EA12BE">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D45C6" w14:textId="77777777" w:rsidR="005E2ECF" w:rsidRDefault="005E2ECF">
      <w:r>
        <w:separator/>
      </w:r>
    </w:p>
  </w:endnote>
  <w:endnote w:type="continuationSeparator" w:id="0">
    <w:p w14:paraId="4EE607FD" w14:textId="77777777" w:rsidR="005E2ECF" w:rsidRDefault="005E2ECF">
      <w:r>
        <w:continuationSeparator/>
      </w:r>
    </w:p>
  </w:endnote>
  <w:endnote w:type="continuationNotice" w:id="1">
    <w:p w14:paraId="0791A80D" w14:textId="77777777" w:rsidR="005E2ECF" w:rsidRDefault="005E2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27352" w14:textId="77777777" w:rsidR="005E2ECF" w:rsidRDefault="005E2ECF">
    <w:pPr>
      <w:pStyle w:val="Footer"/>
    </w:pPr>
    <w:r>
      <mc:AlternateContent>
        <mc:Choice Requires="wps">
          <w:drawing>
            <wp:anchor distT="0" distB="0" distL="114300" distR="114300" simplePos="0" relativeHeight="251658240" behindDoc="0" locked="0" layoutInCell="0" allowOverlap="1" wp14:anchorId="5A2C49D8" wp14:editId="7019D98E">
              <wp:simplePos x="0" y="0"/>
              <wp:positionH relativeFrom="page">
                <wp:posOffset>0</wp:posOffset>
              </wp:positionH>
              <wp:positionV relativeFrom="page">
                <wp:posOffset>10250170</wp:posOffset>
              </wp:positionV>
              <wp:extent cx="7560945" cy="252095"/>
              <wp:effectExtent l="0" t="0" r="0" b="14605"/>
              <wp:wrapNone/>
              <wp:docPr id="1" name="MSIPCM7eca489ca1f2bb9373cd5448" descr="{&quot;HashCode&quot;:2662602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BC009E" w14:textId="77777777" w:rsidR="005E2ECF" w:rsidRPr="00153795" w:rsidRDefault="005E2ECF" w:rsidP="0015379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2C49D8" id="_x0000_t202" coordsize="21600,21600" o:spt="202" path="m,l,21600r21600,l21600,xe">
              <v:stroke joinstyle="miter"/>
              <v:path gradientshapeok="t" o:connecttype="rect"/>
            </v:shapetype>
            <v:shape id="MSIPCM7eca489ca1f2bb9373cd5448" o:spid="_x0000_s1026" type="#_x0000_t202" alt="{&quot;HashCode&quot;:26626021,&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" o:allowincell="f" filled="f" stroked="f" strokeweight=".5pt">
              <v:textbox inset=",0,,0">
                <w:txbxContent>
                  <w:p w14:paraId="2ABC009E" w14:textId="77777777" w:rsidR="005E2ECF" w:rsidRPr="00153795" w:rsidRDefault="005E2ECF" w:rsidP="0015379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2356D" w14:textId="77777777" w:rsidR="005E2ECF" w:rsidRDefault="005E2ECF">
      <w:r>
        <w:separator/>
      </w:r>
    </w:p>
  </w:footnote>
  <w:footnote w:type="continuationSeparator" w:id="0">
    <w:p w14:paraId="23318FFB" w14:textId="77777777" w:rsidR="005E2ECF" w:rsidRDefault="005E2ECF">
      <w:r>
        <w:continuationSeparator/>
      </w:r>
    </w:p>
  </w:footnote>
  <w:footnote w:type="continuationNotice" w:id="1">
    <w:p w14:paraId="6152F354" w14:textId="77777777" w:rsidR="005E2ECF" w:rsidRDefault="005E2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4C566" w14:textId="77777777" w:rsidR="005E2ECF" w:rsidRDefault="005E2E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468FB"/>
    <w:multiLevelType w:val="hybridMultilevel"/>
    <w:tmpl w:val="93FEF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19D6549"/>
    <w:multiLevelType w:val="hybridMultilevel"/>
    <w:tmpl w:val="F2EA8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5275F"/>
    <w:multiLevelType w:val="hybridMultilevel"/>
    <w:tmpl w:val="61602C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B824CBF"/>
    <w:multiLevelType w:val="hybridMultilevel"/>
    <w:tmpl w:val="EA9288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E8714A"/>
    <w:multiLevelType w:val="hybridMultilevel"/>
    <w:tmpl w:val="6F6CE3FA"/>
    <w:lvl w:ilvl="0" w:tplc="04090003">
      <w:start w:val="1"/>
      <w:numFmt w:val="bullet"/>
      <w:lvlText w:val="o"/>
      <w:lvlJc w:val="left"/>
      <w:pPr>
        <w:ind w:left="916" w:hanging="360"/>
      </w:pPr>
      <w:rPr>
        <w:rFonts w:ascii="Courier New" w:hAnsi="Courier New" w:cs="Courier New" w:hint="default"/>
      </w:rPr>
    </w:lvl>
    <w:lvl w:ilvl="1" w:tplc="04090001">
      <w:start w:val="1"/>
      <w:numFmt w:val="bullet"/>
      <w:lvlText w:val=""/>
      <w:lvlJc w:val="left"/>
      <w:pPr>
        <w:ind w:left="1636" w:hanging="360"/>
      </w:pPr>
      <w:rPr>
        <w:rFonts w:ascii="Symbol" w:hAnsi="Symbol"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8E4942"/>
    <w:multiLevelType w:val="hybridMultilevel"/>
    <w:tmpl w:val="45A407E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49A45B57"/>
    <w:multiLevelType w:val="hybridMultilevel"/>
    <w:tmpl w:val="EAC2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EAB15C6"/>
    <w:multiLevelType w:val="hybridMultilevel"/>
    <w:tmpl w:val="20466ACA"/>
    <w:lvl w:ilvl="0" w:tplc="04090003">
      <w:start w:val="1"/>
      <w:numFmt w:val="bullet"/>
      <w:lvlText w:val="o"/>
      <w:lvlJc w:val="left"/>
      <w:pPr>
        <w:ind w:left="916" w:hanging="360"/>
      </w:pPr>
      <w:rPr>
        <w:rFonts w:ascii="Courier New" w:hAnsi="Courier New" w:cs="Courier New"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4" w15:restartNumberingAfterBreak="0">
    <w:nsid w:val="76D8166B"/>
    <w:multiLevelType w:val="hybridMultilevel"/>
    <w:tmpl w:val="963ABE0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60F2B"/>
    <w:multiLevelType w:val="hybridMultilevel"/>
    <w:tmpl w:val="4F4207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A9D2AE4"/>
    <w:multiLevelType w:val="hybridMultilevel"/>
    <w:tmpl w:val="6C1C0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0F19C5"/>
    <w:multiLevelType w:val="hybridMultilevel"/>
    <w:tmpl w:val="8AFC5BC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0"/>
  </w:num>
  <w:num w:numId="3">
    <w:abstractNumId w:val="12"/>
  </w:num>
  <w:num w:numId="4">
    <w:abstractNumId w:val="8"/>
  </w:num>
  <w:num w:numId="5">
    <w:abstractNumId w:val="1"/>
  </w:num>
  <w:num w:numId="6">
    <w:abstractNumId w:val="16"/>
  </w:num>
  <w:num w:numId="7">
    <w:abstractNumId w:val="7"/>
  </w:num>
  <w:num w:numId="8">
    <w:abstractNumId w:val="5"/>
  </w:num>
  <w:num w:numId="9">
    <w:abstractNumId w:val="0"/>
  </w:num>
  <w:num w:numId="10">
    <w:abstractNumId w:val="14"/>
  </w:num>
  <w:num w:numId="11">
    <w:abstractNumId w:val="15"/>
  </w:num>
  <w:num w:numId="12">
    <w:abstractNumId w:val="10"/>
  </w:num>
  <w:num w:numId="13">
    <w:abstractNumId w:val="13"/>
  </w:num>
  <w:num w:numId="14">
    <w:abstractNumId w:val="6"/>
  </w:num>
  <w:num w:numId="15">
    <w:abstractNumId w:val="17"/>
  </w:num>
  <w:num w:numId="16">
    <w:abstractNumId w:val="19"/>
  </w:num>
  <w:num w:numId="17">
    <w:abstractNumId w:val="9"/>
  </w:num>
  <w:num w:numId="18">
    <w:abstractNumId w:val="18"/>
  </w:num>
  <w:num w:numId="19">
    <w:abstractNumId w:val="3"/>
  </w:num>
  <w:num w:numId="20">
    <w:abstractNumId w:val="2"/>
  </w:num>
  <w:num w:numId="2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D2"/>
    <w:rsid w:val="000055F9"/>
    <w:rsid w:val="00005934"/>
    <w:rsid w:val="00006E3A"/>
    <w:rsid w:val="00011D53"/>
    <w:rsid w:val="000167D9"/>
    <w:rsid w:val="00022E4A"/>
    <w:rsid w:val="000231E2"/>
    <w:rsid w:val="00027662"/>
    <w:rsid w:val="0003183A"/>
    <w:rsid w:val="00035B9A"/>
    <w:rsid w:val="000365A8"/>
    <w:rsid w:val="00040959"/>
    <w:rsid w:val="00040D4F"/>
    <w:rsid w:val="000413DC"/>
    <w:rsid w:val="00043A85"/>
    <w:rsid w:val="000474DD"/>
    <w:rsid w:val="00050741"/>
    <w:rsid w:val="00052675"/>
    <w:rsid w:val="00055644"/>
    <w:rsid w:val="000571B5"/>
    <w:rsid w:val="00061A26"/>
    <w:rsid w:val="0006342A"/>
    <w:rsid w:val="000635E2"/>
    <w:rsid w:val="000662D6"/>
    <w:rsid w:val="00070EB1"/>
    <w:rsid w:val="00076B4E"/>
    <w:rsid w:val="000821BE"/>
    <w:rsid w:val="00082234"/>
    <w:rsid w:val="000825EE"/>
    <w:rsid w:val="00083C37"/>
    <w:rsid w:val="00085544"/>
    <w:rsid w:val="000871A0"/>
    <w:rsid w:val="00090EB7"/>
    <w:rsid w:val="00091BC0"/>
    <w:rsid w:val="0009351C"/>
    <w:rsid w:val="00095FCB"/>
    <w:rsid w:val="00096B2A"/>
    <w:rsid w:val="00096D36"/>
    <w:rsid w:val="000A1204"/>
    <w:rsid w:val="000A1747"/>
    <w:rsid w:val="000A2D15"/>
    <w:rsid w:val="000A5A58"/>
    <w:rsid w:val="000A6394"/>
    <w:rsid w:val="000B023C"/>
    <w:rsid w:val="000B0638"/>
    <w:rsid w:val="000B60CD"/>
    <w:rsid w:val="000B7FED"/>
    <w:rsid w:val="000C038A"/>
    <w:rsid w:val="000C26E6"/>
    <w:rsid w:val="000C3831"/>
    <w:rsid w:val="000C6598"/>
    <w:rsid w:val="000D0676"/>
    <w:rsid w:val="000D4974"/>
    <w:rsid w:val="000D52DA"/>
    <w:rsid w:val="000D5570"/>
    <w:rsid w:val="000D5ECC"/>
    <w:rsid w:val="000D61CA"/>
    <w:rsid w:val="000F61B2"/>
    <w:rsid w:val="000F77CF"/>
    <w:rsid w:val="00100942"/>
    <w:rsid w:val="00101968"/>
    <w:rsid w:val="00104B97"/>
    <w:rsid w:val="0010609C"/>
    <w:rsid w:val="00107B83"/>
    <w:rsid w:val="0011226F"/>
    <w:rsid w:val="0011292D"/>
    <w:rsid w:val="00112D64"/>
    <w:rsid w:val="00113881"/>
    <w:rsid w:val="00114495"/>
    <w:rsid w:val="0011468B"/>
    <w:rsid w:val="001147BC"/>
    <w:rsid w:val="00115568"/>
    <w:rsid w:val="00124C57"/>
    <w:rsid w:val="00125CD8"/>
    <w:rsid w:val="00125CEF"/>
    <w:rsid w:val="0013169E"/>
    <w:rsid w:val="00133960"/>
    <w:rsid w:val="00145D43"/>
    <w:rsid w:val="00145F7E"/>
    <w:rsid w:val="00147A6B"/>
    <w:rsid w:val="00147DD3"/>
    <w:rsid w:val="00150558"/>
    <w:rsid w:val="00151A13"/>
    <w:rsid w:val="00153795"/>
    <w:rsid w:val="00154C33"/>
    <w:rsid w:val="00155F82"/>
    <w:rsid w:val="00156210"/>
    <w:rsid w:val="00165C5D"/>
    <w:rsid w:val="00171583"/>
    <w:rsid w:val="00173F96"/>
    <w:rsid w:val="00175919"/>
    <w:rsid w:val="00181B48"/>
    <w:rsid w:val="00184977"/>
    <w:rsid w:val="00187F7B"/>
    <w:rsid w:val="001905E3"/>
    <w:rsid w:val="00191481"/>
    <w:rsid w:val="00192C46"/>
    <w:rsid w:val="00192CD3"/>
    <w:rsid w:val="00194F70"/>
    <w:rsid w:val="001955B0"/>
    <w:rsid w:val="00195697"/>
    <w:rsid w:val="00195A0D"/>
    <w:rsid w:val="00196A47"/>
    <w:rsid w:val="001A08B3"/>
    <w:rsid w:val="001A29C5"/>
    <w:rsid w:val="001A4A72"/>
    <w:rsid w:val="001A6632"/>
    <w:rsid w:val="001A6A7F"/>
    <w:rsid w:val="001A7B60"/>
    <w:rsid w:val="001B07B3"/>
    <w:rsid w:val="001B15AD"/>
    <w:rsid w:val="001B27F8"/>
    <w:rsid w:val="001B51DC"/>
    <w:rsid w:val="001B52F0"/>
    <w:rsid w:val="001B6FB4"/>
    <w:rsid w:val="001B75BA"/>
    <w:rsid w:val="001B7A65"/>
    <w:rsid w:val="001C07AC"/>
    <w:rsid w:val="001C08D5"/>
    <w:rsid w:val="001C3E3D"/>
    <w:rsid w:val="001C7166"/>
    <w:rsid w:val="001D0245"/>
    <w:rsid w:val="001D2CF3"/>
    <w:rsid w:val="001D7ED2"/>
    <w:rsid w:val="001E21F9"/>
    <w:rsid w:val="001E36A5"/>
    <w:rsid w:val="001E41F3"/>
    <w:rsid w:val="001E6C6A"/>
    <w:rsid w:val="001F1325"/>
    <w:rsid w:val="001F39DB"/>
    <w:rsid w:val="001F4E52"/>
    <w:rsid w:val="001F58FA"/>
    <w:rsid w:val="001F7512"/>
    <w:rsid w:val="002024F2"/>
    <w:rsid w:val="002034EF"/>
    <w:rsid w:val="002038B1"/>
    <w:rsid w:val="00211D6F"/>
    <w:rsid w:val="00215E1A"/>
    <w:rsid w:val="00216D30"/>
    <w:rsid w:val="00220271"/>
    <w:rsid w:val="00222B31"/>
    <w:rsid w:val="002234F4"/>
    <w:rsid w:val="002238D7"/>
    <w:rsid w:val="00224068"/>
    <w:rsid w:val="00224F2D"/>
    <w:rsid w:val="00225E90"/>
    <w:rsid w:val="00225F20"/>
    <w:rsid w:val="00226DB4"/>
    <w:rsid w:val="00231367"/>
    <w:rsid w:val="002330AD"/>
    <w:rsid w:val="00234198"/>
    <w:rsid w:val="00241430"/>
    <w:rsid w:val="00243E9B"/>
    <w:rsid w:val="00244469"/>
    <w:rsid w:val="002517DC"/>
    <w:rsid w:val="00252D85"/>
    <w:rsid w:val="002575F7"/>
    <w:rsid w:val="0026004D"/>
    <w:rsid w:val="002602C0"/>
    <w:rsid w:val="00262439"/>
    <w:rsid w:val="00262916"/>
    <w:rsid w:val="002640DD"/>
    <w:rsid w:val="0026587C"/>
    <w:rsid w:val="0026751B"/>
    <w:rsid w:val="00270A7F"/>
    <w:rsid w:val="00272D96"/>
    <w:rsid w:val="00275D12"/>
    <w:rsid w:val="002769B8"/>
    <w:rsid w:val="00280CE8"/>
    <w:rsid w:val="0028171B"/>
    <w:rsid w:val="002844AA"/>
    <w:rsid w:val="00284B8C"/>
    <w:rsid w:val="00284FEB"/>
    <w:rsid w:val="00285826"/>
    <w:rsid w:val="002860C4"/>
    <w:rsid w:val="002903C7"/>
    <w:rsid w:val="00297369"/>
    <w:rsid w:val="002A002E"/>
    <w:rsid w:val="002A0CB3"/>
    <w:rsid w:val="002A145C"/>
    <w:rsid w:val="002A33D8"/>
    <w:rsid w:val="002A3FF8"/>
    <w:rsid w:val="002A5CD7"/>
    <w:rsid w:val="002A62D6"/>
    <w:rsid w:val="002B0117"/>
    <w:rsid w:val="002B0607"/>
    <w:rsid w:val="002B3F4B"/>
    <w:rsid w:val="002B40F1"/>
    <w:rsid w:val="002B4300"/>
    <w:rsid w:val="002B4EEE"/>
    <w:rsid w:val="002B5155"/>
    <w:rsid w:val="002B5741"/>
    <w:rsid w:val="002B7D41"/>
    <w:rsid w:val="002C0A49"/>
    <w:rsid w:val="002C3CCD"/>
    <w:rsid w:val="002D01F6"/>
    <w:rsid w:val="002D2559"/>
    <w:rsid w:val="002D36DB"/>
    <w:rsid w:val="002D6DF5"/>
    <w:rsid w:val="002D7B64"/>
    <w:rsid w:val="002D7EE4"/>
    <w:rsid w:val="002E0D33"/>
    <w:rsid w:val="002E751E"/>
    <w:rsid w:val="002E754B"/>
    <w:rsid w:val="002F02EB"/>
    <w:rsid w:val="002F0FAD"/>
    <w:rsid w:val="002F3C34"/>
    <w:rsid w:val="002F4295"/>
    <w:rsid w:val="002F5642"/>
    <w:rsid w:val="002F7B2B"/>
    <w:rsid w:val="00302CF6"/>
    <w:rsid w:val="00303FC5"/>
    <w:rsid w:val="00304C9E"/>
    <w:rsid w:val="00305409"/>
    <w:rsid w:val="003103D2"/>
    <w:rsid w:val="00311E3D"/>
    <w:rsid w:val="00312664"/>
    <w:rsid w:val="00317119"/>
    <w:rsid w:val="00317B6A"/>
    <w:rsid w:val="0032013C"/>
    <w:rsid w:val="00320FD2"/>
    <w:rsid w:val="003226A3"/>
    <w:rsid w:val="00325008"/>
    <w:rsid w:val="00326CD3"/>
    <w:rsid w:val="00333DBC"/>
    <w:rsid w:val="00335872"/>
    <w:rsid w:val="0034223E"/>
    <w:rsid w:val="00342CCE"/>
    <w:rsid w:val="00343972"/>
    <w:rsid w:val="00346836"/>
    <w:rsid w:val="003528E7"/>
    <w:rsid w:val="00354843"/>
    <w:rsid w:val="003609EF"/>
    <w:rsid w:val="00360C21"/>
    <w:rsid w:val="0036144B"/>
    <w:rsid w:val="00361477"/>
    <w:rsid w:val="0036231A"/>
    <w:rsid w:val="00362A95"/>
    <w:rsid w:val="00362B76"/>
    <w:rsid w:val="0037060E"/>
    <w:rsid w:val="00372DA4"/>
    <w:rsid w:val="003731FA"/>
    <w:rsid w:val="00373629"/>
    <w:rsid w:val="00373D07"/>
    <w:rsid w:val="00377181"/>
    <w:rsid w:val="0038342C"/>
    <w:rsid w:val="00387D73"/>
    <w:rsid w:val="003911A4"/>
    <w:rsid w:val="00391C41"/>
    <w:rsid w:val="00394761"/>
    <w:rsid w:val="00394AE8"/>
    <w:rsid w:val="0039560A"/>
    <w:rsid w:val="0039580E"/>
    <w:rsid w:val="00397AC5"/>
    <w:rsid w:val="003A014C"/>
    <w:rsid w:val="003A4A26"/>
    <w:rsid w:val="003A55EC"/>
    <w:rsid w:val="003A5BC1"/>
    <w:rsid w:val="003B0B7F"/>
    <w:rsid w:val="003B6CDD"/>
    <w:rsid w:val="003C06F7"/>
    <w:rsid w:val="003C3C85"/>
    <w:rsid w:val="003C5AAC"/>
    <w:rsid w:val="003D0A44"/>
    <w:rsid w:val="003D4ED7"/>
    <w:rsid w:val="003E1A36"/>
    <w:rsid w:val="003E2A1D"/>
    <w:rsid w:val="003E65BC"/>
    <w:rsid w:val="00400928"/>
    <w:rsid w:val="0040131D"/>
    <w:rsid w:val="00402359"/>
    <w:rsid w:val="00402712"/>
    <w:rsid w:val="0040271F"/>
    <w:rsid w:val="004057B9"/>
    <w:rsid w:val="00410371"/>
    <w:rsid w:val="0041124E"/>
    <w:rsid w:val="00412DF8"/>
    <w:rsid w:val="004137D4"/>
    <w:rsid w:val="00413833"/>
    <w:rsid w:val="00414140"/>
    <w:rsid w:val="00414B74"/>
    <w:rsid w:val="00416283"/>
    <w:rsid w:val="004211FD"/>
    <w:rsid w:val="00421623"/>
    <w:rsid w:val="00421FAB"/>
    <w:rsid w:val="004227FE"/>
    <w:rsid w:val="004230D2"/>
    <w:rsid w:val="004242F1"/>
    <w:rsid w:val="004245AF"/>
    <w:rsid w:val="00425EAD"/>
    <w:rsid w:val="004270B5"/>
    <w:rsid w:val="004304E1"/>
    <w:rsid w:val="00430E20"/>
    <w:rsid w:val="0043345B"/>
    <w:rsid w:val="004341A2"/>
    <w:rsid w:val="00435079"/>
    <w:rsid w:val="00435CB6"/>
    <w:rsid w:val="004368E6"/>
    <w:rsid w:val="004373DA"/>
    <w:rsid w:val="004379B1"/>
    <w:rsid w:val="00441E3C"/>
    <w:rsid w:val="00443B89"/>
    <w:rsid w:val="004441D7"/>
    <w:rsid w:val="00444B1B"/>
    <w:rsid w:val="00447581"/>
    <w:rsid w:val="00465201"/>
    <w:rsid w:val="00472170"/>
    <w:rsid w:val="00481E97"/>
    <w:rsid w:val="004858A8"/>
    <w:rsid w:val="00487E8C"/>
    <w:rsid w:val="00491D07"/>
    <w:rsid w:val="004A60A8"/>
    <w:rsid w:val="004B02C5"/>
    <w:rsid w:val="004B4F94"/>
    <w:rsid w:val="004B75B7"/>
    <w:rsid w:val="004C1B03"/>
    <w:rsid w:val="004C2D8E"/>
    <w:rsid w:val="004C4118"/>
    <w:rsid w:val="004C59C8"/>
    <w:rsid w:val="004C600D"/>
    <w:rsid w:val="004C6996"/>
    <w:rsid w:val="004D1602"/>
    <w:rsid w:val="004D4E88"/>
    <w:rsid w:val="004E252F"/>
    <w:rsid w:val="004E2B1E"/>
    <w:rsid w:val="004F2818"/>
    <w:rsid w:val="004F3512"/>
    <w:rsid w:val="004F68E7"/>
    <w:rsid w:val="005056FC"/>
    <w:rsid w:val="005078E1"/>
    <w:rsid w:val="0051580D"/>
    <w:rsid w:val="00517BD7"/>
    <w:rsid w:val="00525817"/>
    <w:rsid w:val="00525CB1"/>
    <w:rsid w:val="0052796B"/>
    <w:rsid w:val="0053042C"/>
    <w:rsid w:val="00533144"/>
    <w:rsid w:val="00536BB2"/>
    <w:rsid w:val="00541DAF"/>
    <w:rsid w:val="005437A0"/>
    <w:rsid w:val="005440BD"/>
    <w:rsid w:val="00547111"/>
    <w:rsid w:val="00550799"/>
    <w:rsid w:val="0055178A"/>
    <w:rsid w:val="00551BA8"/>
    <w:rsid w:val="00555F35"/>
    <w:rsid w:val="0055723B"/>
    <w:rsid w:val="005643E8"/>
    <w:rsid w:val="0056690B"/>
    <w:rsid w:val="005705DA"/>
    <w:rsid w:val="00570A41"/>
    <w:rsid w:val="00572560"/>
    <w:rsid w:val="0057610B"/>
    <w:rsid w:val="00585A3E"/>
    <w:rsid w:val="0058752D"/>
    <w:rsid w:val="00592CEC"/>
    <w:rsid w:val="00592D74"/>
    <w:rsid w:val="005959F0"/>
    <w:rsid w:val="00596BAC"/>
    <w:rsid w:val="005A20B6"/>
    <w:rsid w:val="005A31C6"/>
    <w:rsid w:val="005A7B24"/>
    <w:rsid w:val="005B0251"/>
    <w:rsid w:val="005B0610"/>
    <w:rsid w:val="005B42C7"/>
    <w:rsid w:val="005B4333"/>
    <w:rsid w:val="005B7100"/>
    <w:rsid w:val="005C0434"/>
    <w:rsid w:val="005C2312"/>
    <w:rsid w:val="005C3881"/>
    <w:rsid w:val="005C49EE"/>
    <w:rsid w:val="005D24C7"/>
    <w:rsid w:val="005E06BF"/>
    <w:rsid w:val="005E1E6F"/>
    <w:rsid w:val="005E2C44"/>
    <w:rsid w:val="005E2ECF"/>
    <w:rsid w:val="005E479E"/>
    <w:rsid w:val="005E482F"/>
    <w:rsid w:val="005E667A"/>
    <w:rsid w:val="005E7FAD"/>
    <w:rsid w:val="005F0429"/>
    <w:rsid w:val="005F04EC"/>
    <w:rsid w:val="005F0CA7"/>
    <w:rsid w:val="005F103C"/>
    <w:rsid w:val="005F1CCB"/>
    <w:rsid w:val="005F28C6"/>
    <w:rsid w:val="005F28D1"/>
    <w:rsid w:val="005F2A1C"/>
    <w:rsid w:val="005F62B1"/>
    <w:rsid w:val="00601132"/>
    <w:rsid w:val="006012AF"/>
    <w:rsid w:val="00602EB9"/>
    <w:rsid w:val="0060369A"/>
    <w:rsid w:val="00603BA1"/>
    <w:rsid w:val="00605771"/>
    <w:rsid w:val="00606BD0"/>
    <w:rsid w:val="0060736A"/>
    <w:rsid w:val="006078D0"/>
    <w:rsid w:val="006153C3"/>
    <w:rsid w:val="006201CC"/>
    <w:rsid w:val="006205D4"/>
    <w:rsid w:val="00621188"/>
    <w:rsid w:val="006214AB"/>
    <w:rsid w:val="0062358A"/>
    <w:rsid w:val="0062554B"/>
    <w:rsid w:val="006257ED"/>
    <w:rsid w:val="0062616A"/>
    <w:rsid w:val="0063038A"/>
    <w:rsid w:val="00634754"/>
    <w:rsid w:val="006353F1"/>
    <w:rsid w:val="006369FE"/>
    <w:rsid w:val="00636F8A"/>
    <w:rsid w:val="006413EC"/>
    <w:rsid w:val="0064269F"/>
    <w:rsid w:val="00643109"/>
    <w:rsid w:val="006446CE"/>
    <w:rsid w:val="00645FAF"/>
    <w:rsid w:val="0064762A"/>
    <w:rsid w:val="006512E2"/>
    <w:rsid w:val="00653802"/>
    <w:rsid w:val="006545EC"/>
    <w:rsid w:val="00664172"/>
    <w:rsid w:val="00664B01"/>
    <w:rsid w:val="0067106D"/>
    <w:rsid w:val="0067353C"/>
    <w:rsid w:val="006735C8"/>
    <w:rsid w:val="006812C0"/>
    <w:rsid w:val="00686582"/>
    <w:rsid w:val="00686AA4"/>
    <w:rsid w:val="0068770A"/>
    <w:rsid w:val="00692C93"/>
    <w:rsid w:val="00693B07"/>
    <w:rsid w:val="00695808"/>
    <w:rsid w:val="00695F30"/>
    <w:rsid w:val="0069633D"/>
    <w:rsid w:val="006A01EA"/>
    <w:rsid w:val="006A11F8"/>
    <w:rsid w:val="006A13FC"/>
    <w:rsid w:val="006A1AFC"/>
    <w:rsid w:val="006A26B6"/>
    <w:rsid w:val="006A35ED"/>
    <w:rsid w:val="006A5795"/>
    <w:rsid w:val="006A5B96"/>
    <w:rsid w:val="006A65AA"/>
    <w:rsid w:val="006A66A0"/>
    <w:rsid w:val="006B1C5E"/>
    <w:rsid w:val="006B46FB"/>
    <w:rsid w:val="006B5A6A"/>
    <w:rsid w:val="006B6921"/>
    <w:rsid w:val="006B6FAD"/>
    <w:rsid w:val="006C03D5"/>
    <w:rsid w:val="006C224B"/>
    <w:rsid w:val="006C3071"/>
    <w:rsid w:val="006C5D8A"/>
    <w:rsid w:val="006C6E86"/>
    <w:rsid w:val="006D380E"/>
    <w:rsid w:val="006D493E"/>
    <w:rsid w:val="006D7339"/>
    <w:rsid w:val="006D7AE2"/>
    <w:rsid w:val="006E0C9D"/>
    <w:rsid w:val="006E181F"/>
    <w:rsid w:val="006E21FB"/>
    <w:rsid w:val="007059ED"/>
    <w:rsid w:val="0070693A"/>
    <w:rsid w:val="00712015"/>
    <w:rsid w:val="0071547D"/>
    <w:rsid w:val="00716B26"/>
    <w:rsid w:val="00717F5D"/>
    <w:rsid w:val="00720265"/>
    <w:rsid w:val="00721E0F"/>
    <w:rsid w:val="00724A8F"/>
    <w:rsid w:val="00725365"/>
    <w:rsid w:val="00726B84"/>
    <w:rsid w:val="007301FE"/>
    <w:rsid w:val="007335B0"/>
    <w:rsid w:val="00737FF2"/>
    <w:rsid w:val="00741BD1"/>
    <w:rsid w:val="00743E35"/>
    <w:rsid w:val="007461DE"/>
    <w:rsid w:val="007470D4"/>
    <w:rsid w:val="00750495"/>
    <w:rsid w:val="00757B22"/>
    <w:rsid w:val="0076083D"/>
    <w:rsid w:val="0076148A"/>
    <w:rsid w:val="00761BB0"/>
    <w:rsid w:val="00766285"/>
    <w:rsid w:val="00774E4E"/>
    <w:rsid w:val="00775864"/>
    <w:rsid w:val="00776CC0"/>
    <w:rsid w:val="007801B4"/>
    <w:rsid w:val="00781076"/>
    <w:rsid w:val="0078129B"/>
    <w:rsid w:val="00781AF1"/>
    <w:rsid w:val="0078277B"/>
    <w:rsid w:val="00784814"/>
    <w:rsid w:val="00785241"/>
    <w:rsid w:val="00785DA7"/>
    <w:rsid w:val="00792342"/>
    <w:rsid w:val="007977A8"/>
    <w:rsid w:val="007A02EF"/>
    <w:rsid w:val="007A5B88"/>
    <w:rsid w:val="007A6D8B"/>
    <w:rsid w:val="007A75D1"/>
    <w:rsid w:val="007B1356"/>
    <w:rsid w:val="007B3F42"/>
    <w:rsid w:val="007B4065"/>
    <w:rsid w:val="007B512A"/>
    <w:rsid w:val="007B5165"/>
    <w:rsid w:val="007C0ADD"/>
    <w:rsid w:val="007C181F"/>
    <w:rsid w:val="007C1D0A"/>
    <w:rsid w:val="007C2097"/>
    <w:rsid w:val="007D0058"/>
    <w:rsid w:val="007D13CD"/>
    <w:rsid w:val="007D6A07"/>
    <w:rsid w:val="007D7FC2"/>
    <w:rsid w:val="007F0B0E"/>
    <w:rsid w:val="007F156D"/>
    <w:rsid w:val="007F303B"/>
    <w:rsid w:val="007F526D"/>
    <w:rsid w:val="007F7259"/>
    <w:rsid w:val="00804C5B"/>
    <w:rsid w:val="008051CC"/>
    <w:rsid w:val="00805726"/>
    <w:rsid w:val="00816999"/>
    <w:rsid w:val="008176C6"/>
    <w:rsid w:val="008223B0"/>
    <w:rsid w:val="00825517"/>
    <w:rsid w:val="00825BA3"/>
    <w:rsid w:val="00825C4F"/>
    <w:rsid w:val="00826392"/>
    <w:rsid w:val="00826434"/>
    <w:rsid w:val="00827227"/>
    <w:rsid w:val="008279FA"/>
    <w:rsid w:val="00832341"/>
    <w:rsid w:val="0083324F"/>
    <w:rsid w:val="0083351B"/>
    <w:rsid w:val="00834E1D"/>
    <w:rsid w:val="00835F1F"/>
    <w:rsid w:val="008426A4"/>
    <w:rsid w:val="008439DC"/>
    <w:rsid w:val="00843ADC"/>
    <w:rsid w:val="00845376"/>
    <w:rsid w:val="008454AA"/>
    <w:rsid w:val="0084606A"/>
    <w:rsid w:val="008469C4"/>
    <w:rsid w:val="008508F5"/>
    <w:rsid w:val="008521DD"/>
    <w:rsid w:val="00852B1B"/>
    <w:rsid w:val="00852C7A"/>
    <w:rsid w:val="008540C0"/>
    <w:rsid w:val="00860582"/>
    <w:rsid w:val="00862598"/>
    <w:rsid w:val="008626E7"/>
    <w:rsid w:val="0086278A"/>
    <w:rsid w:val="00862D0B"/>
    <w:rsid w:val="00862DA8"/>
    <w:rsid w:val="0086415B"/>
    <w:rsid w:val="00865806"/>
    <w:rsid w:val="00865FFF"/>
    <w:rsid w:val="00870EE7"/>
    <w:rsid w:val="00872A49"/>
    <w:rsid w:val="008844C7"/>
    <w:rsid w:val="00887A18"/>
    <w:rsid w:val="008911CC"/>
    <w:rsid w:val="00893657"/>
    <w:rsid w:val="008974AD"/>
    <w:rsid w:val="008A1676"/>
    <w:rsid w:val="008A2334"/>
    <w:rsid w:val="008A416E"/>
    <w:rsid w:val="008A45A6"/>
    <w:rsid w:val="008A52EA"/>
    <w:rsid w:val="008A5464"/>
    <w:rsid w:val="008A6B17"/>
    <w:rsid w:val="008B036B"/>
    <w:rsid w:val="008B27C7"/>
    <w:rsid w:val="008B29F8"/>
    <w:rsid w:val="008C1FCE"/>
    <w:rsid w:val="008C5390"/>
    <w:rsid w:val="008D5658"/>
    <w:rsid w:val="008D723F"/>
    <w:rsid w:val="008E34A8"/>
    <w:rsid w:val="008E3BA4"/>
    <w:rsid w:val="008E3E28"/>
    <w:rsid w:val="008E4652"/>
    <w:rsid w:val="008E4EA3"/>
    <w:rsid w:val="008E6BD3"/>
    <w:rsid w:val="008F3B34"/>
    <w:rsid w:val="008F6247"/>
    <w:rsid w:val="008F686C"/>
    <w:rsid w:val="00903F6C"/>
    <w:rsid w:val="00904F39"/>
    <w:rsid w:val="009055C0"/>
    <w:rsid w:val="0090777D"/>
    <w:rsid w:val="0091138D"/>
    <w:rsid w:val="00913DA8"/>
    <w:rsid w:val="0091488B"/>
    <w:rsid w:val="009148DE"/>
    <w:rsid w:val="00922E68"/>
    <w:rsid w:val="00924736"/>
    <w:rsid w:val="00925970"/>
    <w:rsid w:val="009337A5"/>
    <w:rsid w:val="00935354"/>
    <w:rsid w:val="00935BE1"/>
    <w:rsid w:val="0093677C"/>
    <w:rsid w:val="0094596A"/>
    <w:rsid w:val="00951426"/>
    <w:rsid w:val="009559E6"/>
    <w:rsid w:val="00956BBD"/>
    <w:rsid w:val="009576AE"/>
    <w:rsid w:val="009603A5"/>
    <w:rsid w:val="0096572A"/>
    <w:rsid w:val="0096696A"/>
    <w:rsid w:val="00970956"/>
    <w:rsid w:val="00975E90"/>
    <w:rsid w:val="009777D9"/>
    <w:rsid w:val="0098766E"/>
    <w:rsid w:val="00987B72"/>
    <w:rsid w:val="00990F9F"/>
    <w:rsid w:val="00991687"/>
    <w:rsid w:val="00991B88"/>
    <w:rsid w:val="00992B98"/>
    <w:rsid w:val="00996F5A"/>
    <w:rsid w:val="009A5753"/>
    <w:rsid w:val="009A579D"/>
    <w:rsid w:val="009B25D2"/>
    <w:rsid w:val="009B45B9"/>
    <w:rsid w:val="009B4BA1"/>
    <w:rsid w:val="009B6E59"/>
    <w:rsid w:val="009B6EE0"/>
    <w:rsid w:val="009C04F3"/>
    <w:rsid w:val="009C1871"/>
    <w:rsid w:val="009C4581"/>
    <w:rsid w:val="009C4B21"/>
    <w:rsid w:val="009D56BD"/>
    <w:rsid w:val="009D6E64"/>
    <w:rsid w:val="009D6FAA"/>
    <w:rsid w:val="009E0AB0"/>
    <w:rsid w:val="009E1146"/>
    <w:rsid w:val="009E1C27"/>
    <w:rsid w:val="009E3297"/>
    <w:rsid w:val="009F2575"/>
    <w:rsid w:val="009F2E08"/>
    <w:rsid w:val="009F30D4"/>
    <w:rsid w:val="009F734F"/>
    <w:rsid w:val="00A01DBB"/>
    <w:rsid w:val="00A07EEE"/>
    <w:rsid w:val="00A10538"/>
    <w:rsid w:val="00A14E09"/>
    <w:rsid w:val="00A15142"/>
    <w:rsid w:val="00A2068D"/>
    <w:rsid w:val="00A20F1F"/>
    <w:rsid w:val="00A246B6"/>
    <w:rsid w:val="00A2474B"/>
    <w:rsid w:val="00A25B5D"/>
    <w:rsid w:val="00A33BB4"/>
    <w:rsid w:val="00A34AAD"/>
    <w:rsid w:val="00A34B5F"/>
    <w:rsid w:val="00A36D01"/>
    <w:rsid w:val="00A36ED0"/>
    <w:rsid w:val="00A41CDD"/>
    <w:rsid w:val="00A4746B"/>
    <w:rsid w:val="00A47E70"/>
    <w:rsid w:val="00A502F3"/>
    <w:rsid w:val="00A50CF0"/>
    <w:rsid w:val="00A50E7F"/>
    <w:rsid w:val="00A523EA"/>
    <w:rsid w:val="00A53D45"/>
    <w:rsid w:val="00A5418B"/>
    <w:rsid w:val="00A5547C"/>
    <w:rsid w:val="00A56F0C"/>
    <w:rsid w:val="00A6034B"/>
    <w:rsid w:val="00A6137D"/>
    <w:rsid w:val="00A708FB"/>
    <w:rsid w:val="00A72B9C"/>
    <w:rsid w:val="00A7336D"/>
    <w:rsid w:val="00A760CB"/>
    <w:rsid w:val="00A7671C"/>
    <w:rsid w:val="00A77E42"/>
    <w:rsid w:val="00A870D4"/>
    <w:rsid w:val="00A87B9D"/>
    <w:rsid w:val="00A91784"/>
    <w:rsid w:val="00A92495"/>
    <w:rsid w:val="00A9725E"/>
    <w:rsid w:val="00A972A5"/>
    <w:rsid w:val="00AA153B"/>
    <w:rsid w:val="00AA26B8"/>
    <w:rsid w:val="00AA2CBC"/>
    <w:rsid w:val="00AA3433"/>
    <w:rsid w:val="00AA3867"/>
    <w:rsid w:val="00AA4585"/>
    <w:rsid w:val="00AA54A0"/>
    <w:rsid w:val="00AA787C"/>
    <w:rsid w:val="00AB126E"/>
    <w:rsid w:val="00AB150A"/>
    <w:rsid w:val="00AB3E2A"/>
    <w:rsid w:val="00AB4209"/>
    <w:rsid w:val="00AC128D"/>
    <w:rsid w:val="00AC1364"/>
    <w:rsid w:val="00AC4EA0"/>
    <w:rsid w:val="00AC5820"/>
    <w:rsid w:val="00AD1CD8"/>
    <w:rsid w:val="00AD20BD"/>
    <w:rsid w:val="00AD5FC0"/>
    <w:rsid w:val="00AE190D"/>
    <w:rsid w:val="00AE4F17"/>
    <w:rsid w:val="00AE7710"/>
    <w:rsid w:val="00AF1F15"/>
    <w:rsid w:val="00AF29FF"/>
    <w:rsid w:val="00AF2B89"/>
    <w:rsid w:val="00AF2EF1"/>
    <w:rsid w:val="00AF30D8"/>
    <w:rsid w:val="00AF3484"/>
    <w:rsid w:val="00AF41F2"/>
    <w:rsid w:val="00AF4730"/>
    <w:rsid w:val="00B02B6C"/>
    <w:rsid w:val="00B03B8D"/>
    <w:rsid w:val="00B04A9F"/>
    <w:rsid w:val="00B04E22"/>
    <w:rsid w:val="00B06328"/>
    <w:rsid w:val="00B06A11"/>
    <w:rsid w:val="00B07E2E"/>
    <w:rsid w:val="00B10581"/>
    <w:rsid w:val="00B10BAE"/>
    <w:rsid w:val="00B112D1"/>
    <w:rsid w:val="00B14FDA"/>
    <w:rsid w:val="00B15F17"/>
    <w:rsid w:val="00B171C4"/>
    <w:rsid w:val="00B213C0"/>
    <w:rsid w:val="00B21514"/>
    <w:rsid w:val="00B2356A"/>
    <w:rsid w:val="00B24667"/>
    <w:rsid w:val="00B2502C"/>
    <w:rsid w:val="00B258BB"/>
    <w:rsid w:val="00B30B3B"/>
    <w:rsid w:val="00B31D29"/>
    <w:rsid w:val="00B33B42"/>
    <w:rsid w:val="00B413D1"/>
    <w:rsid w:val="00B41D79"/>
    <w:rsid w:val="00B43E29"/>
    <w:rsid w:val="00B45578"/>
    <w:rsid w:val="00B473F5"/>
    <w:rsid w:val="00B5134A"/>
    <w:rsid w:val="00B535C9"/>
    <w:rsid w:val="00B53BEB"/>
    <w:rsid w:val="00B57294"/>
    <w:rsid w:val="00B62D74"/>
    <w:rsid w:val="00B64EEC"/>
    <w:rsid w:val="00B67B97"/>
    <w:rsid w:val="00B7380B"/>
    <w:rsid w:val="00B7525D"/>
    <w:rsid w:val="00B75541"/>
    <w:rsid w:val="00B764FF"/>
    <w:rsid w:val="00B7779F"/>
    <w:rsid w:val="00B840AB"/>
    <w:rsid w:val="00B8735E"/>
    <w:rsid w:val="00B905EE"/>
    <w:rsid w:val="00B92D47"/>
    <w:rsid w:val="00B943E3"/>
    <w:rsid w:val="00B968C8"/>
    <w:rsid w:val="00BA11C4"/>
    <w:rsid w:val="00BA1A22"/>
    <w:rsid w:val="00BA3EC5"/>
    <w:rsid w:val="00BA4452"/>
    <w:rsid w:val="00BA51D9"/>
    <w:rsid w:val="00BB1DFF"/>
    <w:rsid w:val="00BB394C"/>
    <w:rsid w:val="00BB3C76"/>
    <w:rsid w:val="00BB5DFC"/>
    <w:rsid w:val="00BC10B4"/>
    <w:rsid w:val="00BC3BEB"/>
    <w:rsid w:val="00BC3DB3"/>
    <w:rsid w:val="00BC457E"/>
    <w:rsid w:val="00BC7F0B"/>
    <w:rsid w:val="00BD01D1"/>
    <w:rsid w:val="00BD0C3B"/>
    <w:rsid w:val="00BD279D"/>
    <w:rsid w:val="00BD3C30"/>
    <w:rsid w:val="00BD5D9D"/>
    <w:rsid w:val="00BD6BB8"/>
    <w:rsid w:val="00BE1813"/>
    <w:rsid w:val="00BE4D11"/>
    <w:rsid w:val="00BE6097"/>
    <w:rsid w:val="00BE7C4C"/>
    <w:rsid w:val="00BF0FB9"/>
    <w:rsid w:val="00BF356F"/>
    <w:rsid w:val="00BF45A5"/>
    <w:rsid w:val="00BF4C34"/>
    <w:rsid w:val="00BF51A3"/>
    <w:rsid w:val="00BF68B3"/>
    <w:rsid w:val="00BF68CD"/>
    <w:rsid w:val="00BF7D67"/>
    <w:rsid w:val="00C0260C"/>
    <w:rsid w:val="00C03BD1"/>
    <w:rsid w:val="00C11A09"/>
    <w:rsid w:val="00C13CF9"/>
    <w:rsid w:val="00C2208E"/>
    <w:rsid w:val="00C22695"/>
    <w:rsid w:val="00C260F8"/>
    <w:rsid w:val="00C27AA6"/>
    <w:rsid w:val="00C30073"/>
    <w:rsid w:val="00C34D60"/>
    <w:rsid w:val="00C36713"/>
    <w:rsid w:val="00C37BDD"/>
    <w:rsid w:val="00C41951"/>
    <w:rsid w:val="00C4331B"/>
    <w:rsid w:val="00C47BB4"/>
    <w:rsid w:val="00C53CDE"/>
    <w:rsid w:val="00C53F2C"/>
    <w:rsid w:val="00C54204"/>
    <w:rsid w:val="00C5580A"/>
    <w:rsid w:val="00C575B6"/>
    <w:rsid w:val="00C6345E"/>
    <w:rsid w:val="00C64083"/>
    <w:rsid w:val="00C66BA2"/>
    <w:rsid w:val="00C70389"/>
    <w:rsid w:val="00C72B60"/>
    <w:rsid w:val="00C77A81"/>
    <w:rsid w:val="00C8343E"/>
    <w:rsid w:val="00C85BAF"/>
    <w:rsid w:val="00C87335"/>
    <w:rsid w:val="00C905AB"/>
    <w:rsid w:val="00C910B4"/>
    <w:rsid w:val="00C93053"/>
    <w:rsid w:val="00C93482"/>
    <w:rsid w:val="00C94294"/>
    <w:rsid w:val="00C95985"/>
    <w:rsid w:val="00C96F7C"/>
    <w:rsid w:val="00C97EDB"/>
    <w:rsid w:val="00CA7B39"/>
    <w:rsid w:val="00CB05F8"/>
    <w:rsid w:val="00CB2039"/>
    <w:rsid w:val="00CB27B3"/>
    <w:rsid w:val="00CC1983"/>
    <w:rsid w:val="00CC5026"/>
    <w:rsid w:val="00CD12ED"/>
    <w:rsid w:val="00CD1568"/>
    <w:rsid w:val="00CD2964"/>
    <w:rsid w:val="00CD705E"/>
    <w:rsid w:val="00CE1CDF"/>
    <w:rsid w:val="00CE20A8"/>
    <w:rsid w:val="00CE378D"/>
    <w:rsid w:val="00CF0BE9"/>
    <w:rsid w:val="00CF2183"/>
    <w:rsid w:val="00CF21C8"/>
    <w:rsid w:val="00CF32C0"/>
    <w:rsid w:val="00CF370F"/>
    <w:rsid w:val="00CF3750"/>
    <w:rsid w:val="00CF4280"/>
    <w:rsid w:val="00CF5299"/>
    <w:rsid w:val="00CF629F"/>
    <w:rsid w:val="00CF72F6"/>
    <w:rsid w:val="00CF7D89"/>
    <w:rsid w:val="00D03F9A"/>
    <w:rsid w:val="00D06D51"/>
    <w:rsid w:val="00D07171"/>
    <w:rsid w:val="00D10AF2"/>
    <w:rsid w:val="00D14396"/>
    <w:rsid w:val="00D16925"/>
    <w:rsid w:val="00D1756D"/>
    <w:rsid w:val="00D176E8"/>
    <w:rsid w:val="00D24991"/>
    <w:rsid w:val="00D26FA1"/>
    <w:rsid w:val="00D3028B"/>
    <w:rsid w:val="00D3357E"/>
    <w:rsid w:val="00D34254"/>
    <w:rsid w:val="00D342CF"/>
    <w:rsid w:val="00D356B9"/>
    <w:rsid w:val="00D37D2E"/>
    <w:rsid w:val="00D4146C"/>
    <w:rsid w:val="00D41DC4"/>
    <w:rsid w:val="00D43103"/>
    <w:rsid w:val="00D50255"/>
    <w:rsid w:val="00D557EA"/>
    <w:rsid w:val="00D56DC4"/>
    <w:rsid w:val="00D57C81"/>
    <w:rsid w:val="00D6181A"/>
    <w:rsid w:val="00D6331C"/>
    <w:rsid w:val="00D646D4"/>
    <w:rsid w:val="00D649D1"/>
    <w:rsid w:val="00D65600"/>
    <w:rsid w:val="00D65971"/>
    <w:rsid w:val="00D70381"/>
    <w:rsid w:val="00D72D65"/>
    <w:rsid w:val="00D73C3F"/>
    <w:rsid w:val="00D77187"/>
    <w:rsid w:val="00D85773"/>
    <w:rsid w:val="00D86CDD"/>
    <w:rsid w:val="00D90A1E"/>
    <w:rsid w:val="00D91B27"/>
    <w:rsid w:val="00D93BDD"/>
    <w:rsid w:val="00D942B0"/>
    <w:rsid w:val="00D945D5"/>
    <w:rsid w:val="00D97AF8"/>
    <w:rsid w:val="00D97E38"/>
    <w:rsid w:val="00DA01BB"/>
    <w:rsid w:val="00DA3747"/>
    <w:rsid w:val="00DA64B1"/>
    <w:rsid w:val="00DB0BD3"/>
    <w:rsid w:val="00DB4CA5"/>
    <w:rsid w:val="00DB6004"/>
    <w:rsid w:val="00DB6253"/>
    <w:rsid w:val="00DC0E6F"/>
    <w:rsid w:val="00DC6202"/>
    <w:rsid w:val="00DC6695"/>
    <w:rsid w:val="00DD05CB"/>
    <w:rsid w:val="00DD2131"/>
    <w:rsid w:val="00DD40FC"/>
    <w:rsid w:val="00DD4D62"/>
    <w:rsid w:val="00DE34CF"/>
    <w:rsid w:val="00DE4F0D"/>
    <w:rsid w:val="00DE7389"/>
    <w:rsid w:val="00DE765E"/>
    <w:rsid w:val="00DE7B22"/>
    <w:rsid w:val="00DF2050"/>
    <w:rsid w:val="00DF550A"/>
    <w:rsid w:val="00E002A8"/>
    <w:rsid w:val="00E0279C"/>
    <w:rsid w:val="00E02DEA"/>
    <w:rsid w:val="00E02F39"/>
    <w:rsid w:val="00E04D79"/>
    <w:rsid w:val="00E05A04"/>
    <w:rsid w:val="00E102A3"/>
    <w:rsid w:val="00E10B2F"/>
    <w:rsid w:val="00E1101B"/>
    <w:rsid w:val="00E139FD"/>
    <w:rsid w:val="00E13CFD"/>
    <w:rsid w:val="00E13F3D"/>
    <w:rsid w:val="00E157DD"/>
    <w:rsid w:val="00E23F9D"/>
    <w:rsid w:val="00E27583"/>
    <w:rsid w:val="00E32A81"/>
    <w:rsid w:val="00E33C01"/>
    <w:rsid w:val="00E346D4"/>
    <w:rsid w:val="00E36629"/>
    <w:rsid w:val="00E42646"/>
    <w:rsid w:val="00E428BB"/>
    <w:rsid w:val="00E429C8"/>
    <w:rsid w:val="00E43B3D"/>
    <w:rsid w:val="00E43B94"/>
    <w:rsid w:val="00E43E94"/>
    <w:rsid w:val="00E43EB1"/>
    <w:rsid w:val="00E442D5"/>
    <w:rsid w:val="00E46A99"/>
    <w:rsid w:val="00E53FEF"/>
    <w:rsid w:val="00E54D81"/>
    <w:rsid w:val="00E57B53"/>
    <w:rsid w:val="00E61FC1"/>
    <w:rsid w:val="00E62D80"/>
    <w:rsid w:val="00E63E32"/>
    <w:rsid w:val="00E66BFA"/>
    <w:rsid w:val="00E679C0"/>
    <w:rsid w:val="00E77CEF"/>
    <w:rsid w:val="00E8165A"/>
    <w:rsid w:val="00E82C54"/>
    <w:rsid w:val="00E86F63"/>
    <w:rsid w:val="00E87CC8"/>
    <w:rsid w:val="00E973D3"/>
    <w:rsid w:val="00EA0B6A"/>
    <w:rsid w:val="00EA12BE"/>
    <w:rsid w:val="00EB08AD"/>
    <w:rsid w:val="00EB179D"/>
    <w:rsid w:val="00EB4848"/>
    <w:rsid w:val="00EC0569"/>
    <w:rsid w:val="00EC28F4"/>
    <w:rsid w:val="00EC2FA9"/>
    <w:rsid w:val="00EC368C"/>
    <w:rsid w:val="00EC3D16"/>
    <w:rsid w:val="00EC3FA6"/>
    <w:rsid w:val="00EC53DF"/>
    <w:rsid w:val="00ED66C3"/>
    <w:rsid w:val="00EE0A91"/>
    <w:rsid w:val="00EE0F0E"/>
    <w:rsid w:val="00EE101D"/>
    <w:rsid w:val="00EE1025"/>
    <w:rsid w:val="00EE178E"/>
    <w:rsid w:val="00EE24B6"/>
    <w:rsid w:val="00EE4776"/>
    <w:rsid w:val="00EE4A89"/>
    <w:rsid w:val="00EE72FA"/>
    <w:rsid w:val="00EE7D7C"/>
    <w:rsid w:val="00EF2C1B"/>
    <w:rsid w:val="00EF3416"/>
    <w:rsid w:val="00EF53C8"/>
    <w:rsid w:val="00F00421"/>
    <w:rsid w:val="00F00BCE"/>
    <w:rsid w:val="00F01024"/>
    <w:rsid w:val="00F0290B"/>
    <w:rsid w:val="00F02F7E"/>
    <w:rsid w:val="00F035F8"/>
    <w:rsid w:val="00F102C0"/>
    <w:rsid w:val="00F10893"/>
    <w:rsid w:val="00F13244"/>
    <w:rsid w:val="00F1734B"/>
    <w:rsid w:val="00F2429E"/>
    <w:rsid w:val="00F25A63"/>
    <w:rsid w:val="00F25D98"/>
    <w:rsid w:val="00F26943"/>
    <w:rsid w:val="00F300FB"/>
    <w:rsid w:val="00F40A79"/>
    <w:rsid w:val="00F4316D"/>
    <w:rsid w:val="00F43DB7"/>
    <w:rsid w:val="00F45D1E"/>
    <w:rsid w:val="00F4704A"/>
    <w:rsid w:val="00F500FE"/>
    <w:rsid w:val="00F51593"/>
    <w:rsid w:val="00F5181B"/>
    <w:rsid w:val="00F5323B"/>
    <w:rsid w:val="00F537AC"/>
    <w:rsid w:val="00F57663"/>
    <w:rsid w:val="00F66582"/>
    <w:rsid w:val="00F67A9E"/>
    <w:rsid w:val="00F708A3"/>
    <w:rsid w:val="00F708BD"/>
    <w:rsid w:val="00F70EBF"/>
    <w:rsid w:val="00F722BC"/>
    <w:rsid w:val="00F725A3"/>
    <w:rsid w:val="00F726E1"/>
    <w:rsid w:val="00F74BA7"/>
    <w:rsid w:val="00F83A93"/>
    <w:rsid w:val="00F84A5C"/>
    <w:rsid w:val="00F84B1A"/>
    <w:rsid w:val="00F86728"/>
    <w:rsid w:val="00F901E0"/>
    <w:rsid w:val="00F90FA7"/>
    <w:rsid w:val="00F9576C"/>
    <w:rsid w:val="00F9586A"/>
    <w:rsid w:val="00F965C9"/>
    <w:rsid w:val="00F97ECE"/>
    <w:rsid w:val="00FA0A06"/>
    <w:rsid w:val="00FA0D50"/>
    <w:rsid w:val="00FA1201"/>
    <w:rsid w:val="00FA120B"/>
    <w:rsid w:val="00FA2868"/>
    <w:rsid w:val="00FA30CD"/>
    <w:rsid w:val="00FA4849"/>
    <w:rsid w:val="00FA604D"/>
    <w:rsid w:val="00FB0E00"/>
    <w:rsid w:val="00FB1BB2"/>
    <w:rsid w:val="00FB1C2B"/>
    <w:rsid w:val="00FB424A"/>
    <w:rsid w:val="00FB5E98"/>
    <w:rsid w:val="00FB6386"/>
    <w:rsid w:val="00FC0A2E"/>
    <w:rsid w:val="00FC14FC"/>
    <w:rsid w:val="00FC305B"/>
    <w:rsid w:val="00FC5987"/>
    <w:rsid w:val="00FC78CF"/>
    <w:rsid w:val="00FC78FC"/>
    <w:rsid w:val="00FD1341"/>
    <w:rsid w:val="00FD3872"/>
    <w:rsid w:val="00FD4401"/>
    <w:rsid w:val="00FE11DD"/>
    <w:rsid w:val="00FE22AA"/>
    <w:rsid w:val="00FF27C2"/>
    <w:rsid w:val="774291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7FE9DC"/>
  <w15:docId w15:val="{60E04971-3D50-49A9-B680-38069EA8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28E7"/>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题注"/>
    <w:basedOn w:val="Normal"/>
    <w:next w:val="Normal"/>
    <w:link w:val="CaptionChar1"/>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1"/>
      </w:numPr>
      <w:spacing w:after="120"/>
    </w:pPr>
    <w:rPr>
      <w:rFonts w:eastAsia="MS Mincho"/>
      <w:lang w:val="en-US"/>
    </w:rPr>
  </w:style>
  <w:style w:type="paragraph" w:customStyle="1" w:styleId="textintend2">
    <w:name w:val="text intend 2"/>
    <w:basedOn w:val="text"/>
    <w:rsid w:val="002F4295"/>
    <w:pPr>
      <w:widowControl/>
      <w:numPr>
        <w:numId w:val="2"/>
      </w:numPr>
      <w:spacing w:after="120"/>
    </w:pPr>
    <w:rPr>
      <w:rFonts w:eastAsia="MS Mincho"/>
      <w:lang w:val="en-US"/>
    </w:rPr>
  </w:style>
  <w:style w:type="paragraph" w:customStyle="1" w:styleId="textintend3">
    <w:name w:val="text intend 3"/>
    <w:basedOn w:val="text"/>
    <w:rsid w:val="002F4295"/>
    <w:pPr>
      <w:widowControl/>
      <w:numPr>
        <w:numId w:val="3"/>
      </w:numPr>
      <w:spacing w:after="120"/>
    </w:pPr>
    <w:rPr>
      <w:rFonts w:eastAsia="MS Mincho"/>
      <w:lang w:val="en-US"/>
    </w:rPr>
  </w:style>
  <w:style w:type="paragraph" w:customStyle="1" w:styleId="normalpuce">
    <w:name w:val="normal puce"/>
    <w:basedOn w:val="Normal"/>
    <w:rsid w:val="002F429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aliases w:val="- Bullets,?? ??,?????,????,Lista1,목록 단락,リスト段落,列出段落1,中等深浅网格 1 - 着色 21,列出段落"/>
    <w:basedOn w:val="Normal"/>
    <w:link w:val="ListParagraphChar"/>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362B76"/>
    <w:rPr>
      <w:rFonts w:ascii="Arial" w:hAnsi="Arial"/>
      <w:sz w:val="18"/>
      <w:lang w:val="en-GB" w:eastAsia="en-US"/>
    </w:rPr>
  </w:style>
  <w:style w:type="character" w:customStyle="1" w:styleId="B11">
    <w:name w:val="B1 (文字)"/>
    <w:uiPriority w:val="99"/>
    <w:locked/>
    <w:rsid w:val="00362B76"/>
    <w:rPr>
      <w:rFonts w:ascii="Times New Roman" w:hAnsi="Times New Roman"/>
      <w:lang w:val="en-GB" w:eastAsia="en-US"/>
    </w:rPr>
  </w:style>
  <w:style w:type="character" w:customStyle="1" w:styleId="TALCar">
    <w:name w:val="TAL Car"/>
    <w:rsid w:val="00362B76"/>
    <w:rPr>
      <w:rFonts w:ascii="Arial" w:hAnsi="Arial"/>
      <w:sz w:val="18"/>
      <w:lang w:eastAsia="en-US"/>
    </w:rPr>
  </w:style>
  <w:style w:type="character" w:customStyle="1" w:styleId="B1Char">
    <w:name w:val="B1 Char"/>
    <w:rsid w:val="00362B76"/>
    <w:rPr>
      <w:rFonts w:ascii="Times New Roman" w:hAnsi="Times New Roman"/>
      <w:lang w:val="en-GB" w:eastAsia="en-US"/>
    </w:rPr>
  </w:style>
  <w:style w:type="paragraph" w:customStyle="1" w:styleId="MTDisplayEquation">
    <w:name w:val="MTDisplayEquation"/>
    <w:basedOn w:val="Normal"/>
    <w:next w:val="Normal"/>
    <w:link w:val="MTDisplayEquationChar"/>
    <w:rsid w:val="00362B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B76"/>
    <w:rPr>
      <w:rFonts w:ascii="Times New Roman" w:eastAsia="Calibri" w:hAnsi="Times New Roman"/>
      <w:szCs w:val="22"/>
      <w:lang w:val="x-none" w:eastAsia="x-none"/>
    </w:rPr>
  </w:style>
  <w:style w:type="character" w:customStyle="1" w:styleId="fontstyle11">
    <w:name w:val="fontstyle11"/>
    <w:rsid w:val="00362B76"/>
    <w:rPr>
      <w:rFonts w:ascii="Times-Italic" w:hAnsi="Times-Italic" w:hint="default"/>
      <w:b w:val="0"/>
      <w:bCs w:val="0"/>
      <w:i/>
      <w:iCs/>
      <w:color w:val="000000"/>
      <w:sz w:val="20"/>
      <w:szCs w:val="20"/>
    </w:rPr>
  </w:style>
  <w:style w:type="paragraph" w:styleId="Quote">
    <w:name w:val="Quote"/>
    <w:basedOn w:val="Normal"/>
    <w:next w:val="Normal"/>
    <w:link w:val="QuoteChar"/>
    <w:uiPriority w:val="29"/>
    <w:qFormat/>
    <w:rsid w:val="00EA0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0B6A"/>
    <w:rPr>
      <w:rFonts w:ascii="Times New Roman" w:hAnsi="Times New Roman"/>
      <w:i/>
      <w:iCs/>
      <w:color w:val="404040" w:themeColor="text1" w:themeTint="BF"/>
      <w:lang w:val="en-GB" w:eastAsia="en-US"/>
    </w:rPr>
  </w:style>
  <w:style w:type="character" w:customStyle="1" w:styleId="maintextChar">
    <w:name w:val="main text Char"/>
    <w:link w:val="maintext"/>
    <w:qFormat/>
    <w:locked/>
    <w:rsid w:val="00360C21"/>
    <w:rPr>
      <w:rFonts w:ascii="Malgun Gothic" w:eastAsia="Malgun Gothic" w:hAnsi="Malgun Gothic" w:cs="Batang"/>
      <w:lang w:val="en-GB" w:eastAsia="ko-KR"/>
    </w:rPr>
  </w:style>
  <w:style w:type="paragraph" w:customStyle="1" w:styleId="maintext">
    <w:name w:val="main text"/>
    <w:basedOn w:val="Normal"/>
    <w:link w:val="maintextChar"/>
    <w:qFormat/>
    <w:rsid w:val="00360C21"/>
    <w:pPr>
      <w:spacing w:before="60" w:after="60" w:line="288" w:lineRule="auto"/>
      <w:ind w:firstLineChars="200" w:firstLine="200"/>
      <w:jc w:val="both"/>
    </w:pPr>
    <w:rPr>
      <w:rFonts w:ascii="Malgun Gothic" w:eastAsia="Malgun Gothic" w:hAnsi="Malgun Gothic" w:cs="Batang"/>
      <w:lang w:eastAsia="ko-KR"/>
    </w:rPr>
  </w:style>
  <w:style w:type="paragraph" w:styleId="NormalWeb">
    <w:name w:val="Normal (Web)"/>
    <w:basedOn w:val="Normal"/>
    <w:uiPriority w:val="99"/>
    <w:semiHidden/>
    <w:unhideWhenUsed/>
    <w:rsid w:val="00B41D79"/>
    <w:pPr>
      <w:spacing w:before="100" w:beforeAutospacing="1" w:after="100" w:afterAutospacing="1"/>
    </w:pPr>
    <w:rPr>
      <w:rFonts w:eastAsiaTheme="minorEastAsia"/>
      <w:sz w:val="24"/>
      <w:szCs w:val="24"/>
      <w:lang w:val="en-US"/>
    </w:rPr>
  </w:style>
  <w:style w:type="paragraph" w:styleId="NoSpacing">
    <w:name w:val="No Spacing"/>
    <w:uiPriority w:val="1"/>
    <w:qFormat/>
    <w:rsid w:val="00572560"/>
    <w:rPr>
      <w:rFonts w:ascii="Times New Roman" w:hAnsi="Times New Roman"/>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出段落 Char"/>
    <w:link w:val="ListParagraph"/>
    <w:uiPriority w:val="34"/>
    <w:qFormat/>
    <w:rsid w:val="00D26FA1"/>
    <w:rPr>
      <w:rFonts w:ascii="Calibri" w:eastAsia="Calibri" w:hAnsi="Calibr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D26FA1"/>
    <w:rPr>
      <w:rFonts w:ascii="Times New Roman" w:hAnsi="Times New Roman"/>
      <w:b/>
      <w:lang w:val="en-GB" w:eastAsia="en-GB"/>
    </w:rPr>
  </w:style>
  <w:style w:type="character" w:customStyle="1" w:styleId="TAHChar">
    <w:name w:val="TAH Char"/>
    <w:rsid w:val="00C5580A"/>
    <w:rPr>
      <w:rFonts w:ascii="Arial" w:hAnsi="Arial"/>
      <w:b/>
      <w:sz w:val="18"/>
      <w:szCs w:val="22"/>
      <w:lang w:val="en-US" w:eastAsia="en-US"/>
    </w:rPr>
  </w:style>
  <w:style w:type="table" w:styleId="GridTable4-Accent1">
    <w:name w:val="Grid Table 4 Accent 1"/>
    <w:basedOn w:val="TableNormal"/>
    <w:uiPriority w:val="49"/>
    <w:rsid w:val="009576AE"/>
    <w:rPr>
      <w:rFonts w:ascii="Times New Roman" w:eastAsia="MS Mincho"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342CCE"/>
    <w:pPr>
      <w:overflowPunct/>
      <w:autoSpaceDE/>
      <w:autoSpaceDN/>
      <w:adjustRightInd/>
      <w:spacing w:after="120"/>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342CCE"/>
    <w:rPr>
      <w:rFonts w:ascii="Times New Roman" w:eastAsia="MS Mincho" w:hAnsi="Times New Roman"/>
      <w:sz w:val="22"/>
      <w:szCs w:val="24"/>
      <w:lang w:val="x-none" w:eastAsia="x-none"/>
    </w:rPr>
  </w:style>
  <w:style w:type="character" w:styleId="PlaceholderText">
    <w:name w:val="Placeholder Text"/>
    <w:basedOn w:val="DefaultParagraphFont"/>
    <w:uiPriority w:val="99"/>
    <w:semiHidden/>
    <w:rsid w:val="00F010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78757">
      <w:bodyDiv w:val="1"/>
      <w:marLeft w:val="0"/>
      <w:marRight w:val="0"/>
      <w:marTop w:val="0"/>
      <w:marBottom w:val="0"/>
      <w:divBdr>
        <w:top w:val="none" w:sz="0" w:space="0" w:color="auto"/>
        <w:left w:val="none" w:sz="0" w:space="0" w:color="auto"/>
        <w:bottom w:val="none" w:sz="0" w:space="0" w:color="auto"/>
        <w:right w:val="none" w:sz="0" w:space="0" w:color="auto"/>
      </w:divBdr>
    </w:div>
    <w:div w:id="268239982">
      <w:bodyDiv w:val="1"/>
      <w:marLeft w:val="0"/>
      <w:marRight w:val="0"/>
      <w:marTop w:val="0"/>
      <w:marBottom w:val="0"/>
      <w:divBdr>
        <w:top w:val="none" w:sz="0" w:space="0" w:color="auto"/>
        <w:left w:val="none" w:sz="0" w:space="0" w:color="auto"/>
        <w:bottom w:val="none" w:sz="0" w:space="0" w:color="auto"/>
        <w:right w:val="none" w:sz="0" w:space="0" w:color="auto"/>
      </w:divBdr>
    </w:div>
    <w:div w:id="274530940">
      <w:bodyDiv w:val="1"/>
      <w:marLeft w:val="0"/>
      <w:marRight w:val="0"/>
      <w:marTop w:val="0"/>
      <w:marBottom w:val="0"/>
      <w:divBdr>
        <w:top w:val="none" w:sz="0" w:space="0" w:color="auto"/>
        <w:left w:val="none" w:sz="0" w:space="0" w:color="auto"/>
        <w:bottom w:val="none" w:sz="0" w:space="0" w:color="auto"/>
        <w:right w:val="none" w:sz="0" w:space="0" w:color="auto"/>
      </w:divBdr>
    </w:div>
    <w:div w:id="762452715">
      <w:bodyDiv w:val="1"/>
      <w:marLeft w:val="0"/>
      <w:marRight w:val="0"/>
      <w:marTop w:val="0"/>
      <w:marBottom w:val="0"/>
      <w:divBdr>
        <w:top w:val="none" w:sz="0" w:space="0" w:color="auto"/>
        <w:left w:val="none" w:sz="0" w:space="0" w:color="auto"/>
        <w:bottom w:val="none" w:sz="0" w:space="0" w:color="auto"/>
        <w:right w:val="none" w:sz="0" w:space="0" w:color="auto"/>
      </w:divBdr>
    </w:div>
    <w:div w:id="805781749">
      <w:bodyDiv w:val="1"/>
      <w:marLeft w:val="0"/>
      <w:marRight w:val="0"/>
      <w:marTop w:val="0"/>
      <w:marBottom w:val="0"/>
      <w:divBdr>
        <w:top w:val="none" w:sz="0" w:space="0" w:color="auto"/>
        <w:left w:val="none" w:sz="0" w:space="0" w:color="auto"/>
        <w:bottom w:val="none" w:sz="0" w:space="0" w:color="auto"/>
        <w:right w:val="none" w:sz="0" w:space="0" w:color="auto"/>
      </w:divBdr>
      <w:divsChild>
        <w:div w:id="1384790243">
          <w:marLeft w:val="360"/>
          <w:marRight w:val="0"/>
          <w:marTop w:val="0"/>
          <w:marBottom w:val="0"/>
          <w:divBdr>
            <w:top w:val="none" w:sz="0" w:space="0" w:color="auto"/>
            <w:left w:val="none" w:sz="0" w:space="0" w:color="auto"/>
            <w:bottom w:val="none" w:sz="0" w:space="0" w:color="auto"/>
            <w:right w:val="none" w:sz="0" w:space="0" w:color="auto"/>
          </w:divBdr>
        </w:div>
        <w:div w:id="1681659628">
          <w:marLeft w:val="360"/>
          <w:marRight w:val="0"/>
          <w:marTop w:val="0"/>
          <w:marBottom w:val="0"/>
          <w:divBdr>
            <w:top w:val="none" w:sz="0" w:space="0" w:color="auto"/>
            <w:left w:val="none" w:sz="0" w:space="0" w:color="auto"/>
            <w:bottom w:val="none" w:sz="0" w:space="0" w:color="auto"/>
            <w:right w:val="none" w:sz="0" w:space="0" w:color="auto"/>
          </w:divBdr>
        </w:div>
        <w:div w:id="1815247578">
          <w:marLeft w:val="360"/>
          <w:marRight w:val="0"/>
          <w:marTop w:val="0"/>
          <w:marBottom w:val="0"/>
          <w:divBdr>
            <w:top w:val="none" w:sz="0" w:space="0" w:color="auto"/>
            <w:left w:val="none" w:sz="0" w:space="0" w:color="auto"/>
            <w:bottom w:val="none" w:sz="0" w:space="0" w:color="auto"/>
            <w:right w:val="none" w:sz="0" w:space="0" w:color="auto"/>
          </w:divBdr>
        </w:div>
      </w:divsChild>
    </w:div>
    <w:div w:id="1274365943">
      <w:bodyDiv w:val="1"/>
      <w:marLeft w:val="0"/>
      <w:marRight w:val="0"/>
      <w:marTop w:val="0"/>
      <w:marBottom w:val="0"/>
      <w:divBdr>
        <w:top w:val="none" w:sz="0" w:space="0" w:color="auto"/>
        <w:left w:val="none" w:sz="0" w:space="0" w:color="auto"/>
        <w:bottom w:val="none" w:sz="0" w:space="0" w:color="auto"/>
        <w:right w:val="none" w:sz="0" w:space="0" w:color="auto"/>
      </w:divBdr>
    </w:div>
    <w:div w:id="1319043270">
      <w:bodyDiv w:val="1"/>
      <w:marLeft w:val="0"/>
      <w:marRight w:val="0"/>
      <w:marTop w:val="0"/>
      <w:marBottom w:val="0"/>
      <w:divBdr>
        <w:top w:val="none" w:sz="0" w:space="0" w:color="auto"/>
        <w:left w:val="none" w:sz="0" w:space="0" w:color="auto"/>
        <w:bottom w:val="none" w:sz="0" w:space="0" w:color="auto"/>
        <w:right w:val="none" w:sz="0" w:space="0" w:color="auto"/>
      </w:divBdr>
    </w:div>
    <w:div w:id="1853490789">
      <w:bodyDiv w:val="1"/>
      <w:marLeft w:val="0"/>
      <w:marRight w:val="0"/>
      <w:marTop w:val="0"/>
      <w:marBottom w:val="0"/>
      <w:divBdr>
        <w:top w:val="none" w:sz="0" w:space="0" w:color="auto"/>
        <w:left w:val="none" w:sz="0" w:space="0" w:color="auto"/>
        <w:bottom w:val="none" w:sz="0" w:space="0" w:color="auto"/>
        <w:right w:val="none" w:sz="0" w:space="0" w:color="auto"/>
      </w:divBdr>
    </w:div>
    <w:div w:id="205365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5AIRPNAIUNRU-1830940522-5281</_dlc_DocId>
    <_dlc_DocIdUrl xmlns="71c5aaf6-e6ce-465b-b873-5148d2a4c105">
      <Url>https://nokia.sharepoint.com/sites/c5g/5gradio/_layouts/15/DocIdRedir.aspx?ID=5AIRPNAIUNRU-1830940522-5281</Url>
      <Description>5AIRPNAIUNRU-1830940522-5281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E56B4-9CBB-4FF2-99A3-BBF8E21E9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5FF53-0B99-4AD7-B136-E3E547536BC2}">
  <ds:schemaRefs>
    <ds:schemaRef ds:uri="3b34c8f0-1ef5-4d1e-bb66-517ce7fe7356"/>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ebabf6ce-2443-438c-9946-ecc878e7654a"/>
    <ds:schemaRef ds:uri="http://www.w3.org/XML/1998/namespace"/>
  </ds:schemaRefs>
</ds:datastoreItem>
</file>

<file path=customXml/itemProps3.xml><?xml version="1.0" encoding="utf-8"?>
<ds:datastoreItem xmlns:ds="http://schemas.openxmlformats.org/officeDocument/2006/customXml" ds:itemID="{E6FA2486-A42B-4F2C-8EB8-DB5D0F447257}">
  <ds:schemaRefs>
    <ds:schemaRef ds:uri="http://schemas.microsoft.com/sharepoint/v3/contenttype/forms"/>
  </ds:schemaRefs>
</ds:datastoreItem>
</file>

<file path=customXml/itemProps4.xml><?xml version="1.0" encoding="utf-8"?>
<ds:datastoreItem xmlns:ds="http://schemas.openxmlformats.org/officeDocument/2006/customXml" ds:itemID="{88BEC34E-AC09-42C6-8413-093ECB91D3F9}">
  <ds:schemaRefs>
    <ds:schemaRef ds:uri="http://schemas.microsoft.com/sharepoint/events"/>
  </ds:schemaRefs>
</ds:datastoreItem>
</file>

<file path=customXml/itemProps5.xml><?xml version="1.0" encoding="utf-8"?>
<ds:datastoreItem xmlns:ds="http://schemas.openxmlformats.org/officeDocument/2006/customXml" ds:itemID="{879FD914-FE79-4D89-B1B3-07F01892142C}">
  <ds:schemaRefs>
    <ds:schemaRef ds:uri="Microsoft.SharePoint.Taxonomy.ContentTypeSync"/>
  </ds:schemaRefs>
</ds:datastoreItem>
</file>

<file path=customXml/itemProps6.xml><?xml version="1.0" encoding="utf-8"?>
<ds:datastoreItem xmlns:ds="http://schemas.openxmlformats.org/officeDocument/2006/customXml" ds:itemID="{0BB14870-DCA3-4E5B-83E6-0AF6E755F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Nokia;Nokia Shanghai Bell</dc:creator>
  <cp:keywords/>
  <dc:description/>
  <cp:lastModifiedBy>Jayasinghe, Keeth (Nokia - FI/Espoo)</cp:lastModifiedBy>
  <cp:revision>2</cp:revision>
  <cp:lastPrinted>2018-05-11T06:32:00Z</cp:lastPrinted>
  <dcterms:created xsi:type="dcterms:W3CDTF">2019-03-29T19:19:00Z</dcterms:created>
  <dcterms:modified xsi:type="dcterms:W3CDTF">2019-03-29T19:19:00Z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SIP_Label_69302123-5948-4868-ab07-6a45d4659f6f_Enabled">
    <vt:lpwstr>False</vt:lpwstr>
  </property>
  <property fmtid="{D5CDD505-2E9C-101B-9397-08002B2CF9AE}" pid="21" name="MSIP_Label_69302123-5948-4868-ab07-6a45d4659f6f_SiteId">
    <vt:lpwstr>5d471751-9675-428d-917b-70f44f9630b0</vt:lpwstr>
  </property>
  <property fmtid="{D5CDD505-2E9C-101B-9397-08002B2CF9AE}" pid="22" name="MSIP_Label_69302123-5948-4868-ab07-6a45d4659f6f_Owner">
    <vt:lpwstr>juha.s.korhonen@nokia-bell-labs.com</vt:lpwstr>
  </property>
  <property fmtid="{D5CDD505-2E9C-101B-9397-08002B2CF9AE}" pid="23" name="MSIP_Label_69302123-5948-4868-ab07-6a45d4659f6f_SetDate">
    <vt:lpwstr>2018-03-13T13:29:23.8185400+02:00</vt:lpwstr>
  </property>
  <property fmtid="{D5CDD505-2E9C-101B-9397-08002B2CF9AE}" pid="24" name="MSIP_Label_69302123-5948-4868-ab07-6a45d4659f6f_Name">
    <vt:lpwstr>Confidential</vt:lpwstr>
  </property>
  <property fmtid="{D5CDD505-2E9C-101B-9397-08002B2CF9AE}" pid="25" name="MSIP_Label_69302123-5948-4868-ab07-6a45d4659f6f_Application">
    <vt:lpwstr>Microsoft Azure Information Protection</vt:lpwstr>
  </property>
  <property fmtid="{D5CDD505-2E9C-101B-9397-08002B2CF9AE}" pid="26" name="MSIP_Label_69302123-5948-4868-ab07-6a45d4659f6f_Extended_MSFT_Method">
    <vt:lpwstr>Manual</vt:lpwstr>
  </property>
  <property fmtid="{D5CDD505-2E9C-101B-9397-08002B2CF9AE}" pid="27" name="MSIP_Label_31548a04-232c-4d2b-9540-8ad225fd25b3_Enabled">
    <vt:lpwstr>False</vt:lpwstr>
  </property>
  <property fmtid="{D5CDD505-2E9C-101B-9397-08002B2CF9AE}" pid="28" name="MSIP_Label_31548a04-232c-4d2b-9540-8ad225fd25b3_SiteId">
    <vt:lpwstr>5d471751-9675-428d-917b-70f44f9630b0</vt:lpwstr>
  </property>
  <property fmtid="{D5CDD505-2E9C-101B-9397-08002B2CF9AE}" pid="29" name="MSIP_Label_31548a04-232c-4d2b-9540-8ad225fd25b3_Owner">
    <vt:lpwstr>juha.s.korhonen@nokia-bell-labs.com</vt:lpwstr>
  </property>
  <property fmtid="{D5CDD505-2E9C-101B-9397-08002B2CF9AE}" pid="30" name="MSIP_Label_31548a04-232c-4d2b-9540-8ad225fd25b3_SetDate">
    <vt:lpwstr>2018-03-13T13:29:23.8185400+02:00</vt:lpwstr>
  </property>
  <property fmtid="{D5CDD505-2E9C-101B-9397-08002B2CF9AE}" pid="31" name="MSIP_Label_31548a04-232c-4d2b-9540-8ad225fd25b3_Name">
    <vt:lpwstr>Employees and externals</vt:lpwstr>
  </property>
  <property fmtid="{D5CDD505-2E9C-101B-9397-08002B2CF9AE}" pid="32" name="MSIP_Label_31548a04-232c-4d2b-9540-8ad225fd25b3_Application">
    <vt:lpwstr>Microsoft Azure Information Protection</vt:lpwstr>
  </property>
  <property fmtid="{D5CDD505-2E9C-101B-9397-08002B2CF9AE}" pid="33" name="MSIP_Label_31548a04-232c-4d2b-9540-8ad225fd25b3_Extended_MSFT_Method">
    <vt:lpwstr>Manual</vt:lpwstr>
  </property>
  <property fmtid="{D5CDD505-2E9C-101B-9397-08002B2CF9AE}" pid="34" name="MSIP_Label_31548a04-232c-4d2b-9540-8ad225fd25b3_Parent">
    <vt:lpwstr>69302123-5948-4868-ab07-6a45d4659f6f</vt:lpwstr>
  </property>
  <property fmtid="{D5CDD505-2E9C-101B-9397-08002B2CF9AE}" pid="35" name="Sensitivity">
    <vt:lpwstr/>
  </property>
  <property fmtid="{D5CDD505-2E9C-101B-9397-08002B2CF9AE}" pid="36" name="ContentTypeId">
    <vt:lpwstr>0x010100F72F5225BF40E546BD513D0BB4BDDD33</vt:lpwstr>
  </property>
  <property fmtid="{D5CDD505-2E9C-101B-9397-08002B2CF9AE}" pid="37" name="_dlc_DocIdItemGuid">
    <vt:lpwstr>ef250acc-6ec1-4ef9-987c-abf5e43419aa</vt:lpwstr>
  </property>
  <property fmtid="{D5CDD505-2E9C-101B-9397-08002B2CF9AE}" pid="38" name="AuthorIds_UIVersion_1024">
    <vt:lpwstr>227</vt:lpwstr>
  </property>
  <property fmtid="{D5CDD505-2E9C-101B-9397-08002B2CF9AE}" pid="39" name="AuthorIds_UIVersion_512">
    <vt:lpwstr>227</vt:lpwstr>
  </property>
</Properties>
</file>